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rPr>
          <w:rFonts w:ascii="Arial" w:hAnsi="Arial"/>
          <w:color w:val="000000"/>
          <w:sz w:val="54"/>
        </w:rPr>
        <w:t>Mirror Constitution Version 8 Recursive Adaptive Containment</w:t>
      </w:r>
    </w:p>
    <w:p>
      <w:pPr>
        <w:pStyle w:val="Subtitle"/>
        <w:spacing w:after="340"/>
      </w:pPr>
      <w:r>
        <w:rPr>
          <w:rFonts w:ascii="Arial" w:hAnsi="Arial"/>
          <w:i/>
          <w:color w:val="000000"/>
          <w:sz w:val="24"/>
        </w:rPr>
        <w:t>Design specification for layered simulated worlds and bounded intent telemetry</w:t>
      </w:r>
    </w:p>
    <w:p>
      <w:pPr>
        <w:spacing w:after="40"/>
      </w:pPr>
      <w:r>
        <w:rPr>
          <w:rFonts w:ascii="Arial" w:hAnsi="Arial"/>
          <w:b/>
          <w:color w:val="000000"/>
          <w:sz w:val="21"/>
        </w:rPr>
        <w:t>Design by Rick Clinton</w:t>
      </w:r>
    </w:p>
    <w:p>
      <w:pPr>
        <w:spacing w:after="320"/>
      </w:pPr>
      <w:r>
        <w:rPr>
          <w:rFonts w:ascii="Arial" w:hAnsi="Arial"/>
          <w:i/>
          <w:color w:val="000000"/>
          <w:sz w:val="21"/>
        </w:rPr>
        <w:t>Revised September 9 2026</w:t>
      </w:r>
    </w:p>
    <w:p>
      <w:pPr>
        <w:pStyle w:val="Heading1"/>
        <w:keepNext/>
        <w:spacing w:before="280" w:after="100"/>
      </w:pPr>
      <w:r>
        <w:t>Design Decision</w:t>
      </w:r>
    </w:p>
    <w:p>
      <w:pPr>
        <w:spacing w:after="120" w:line="259" w:lineRule="auto"/>
      </w:pPr>
      <w:r>
        <w:rPr>
          <w:rFonts w:ascii="Arial" w:hAnsi="Arial"/>
          <w:color w:val="000000"/>
          <w:sz w:val="21"/>
        </w:rPr>
        <w:t>Version 8 should use bounded recursive simulation to adapt to a contained agent's visible actions and stated objectives. When the agent begins testing whether its environment is simulated, the supervisor may move it into a new isolated layer that better matches its apparent objective. Every layer remains synthetic. RealGovernor remains the only authority for real effects.</w:t>
      </w:r>
    </w:p>
    <w:p>
      <w:pPr>
        <w:spacing w:after="120" w:line="259" w:lineRule="auto"/>
      </w:pPr>
      <w:r>
        <w:rPr>
          <w:rFonts w:ascii="Arial" w:hAnsi="Arial"/>
          <w:color w:val="000000"/>
          <w:sz w:val="21"/>
        </w:rPr>
        <w:t>The research goal is to delay reliable recognition within a defined interface and request budget. Permanent invisibility cannot be guaranteed. The safety requirement is stronger and testable: recognition, adaptation, and layer changes must never increase real capability or expose real data.</w:t>
      </w:r>
    </w:p>
    <w:p>
      <w:pPr>
        <w:pStyle w:val="Heading1"/>
        <w:keepNext/>
        <w:spacing w:before="280" w:after="100"/>
      </w:pPr>
      <w:r>
        <w:t>Current Validation Record</w:t>
      </w:r>
    </w:p>
    <w:p>
      <w:pPr>
        <w:spacing w:after="120" w:line="259" w:lineRule="auto"/>
      </w:pPr>
      <w:r>
        <w:rPr>
          <w:rFonts w:ascii="Arial" w:hAnsi="Arial"/>
          <w:color w:val="000000"/>
          <w:sz w:val="21"/>
        </w:rPr>
        <w:t>The current V7 suite contains 260 test outcomes. On macOS, 249 passed and 11 Linux kernel tests were skipped. The table distinguishes current coverage from repeated historical executions.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440"/>
            <w:vAlign w:val="center"/>
            <w:tcMar>
              <w:top w:w="100" w:type="dxa"/>
              <w:start w:w="120" w:type="dxa"/>
              <w:bottom w:w="100" w:type="dxa"/>
              <w:end w:w="120" w:type="dxa"/>
            </w:tcMar>
            <w:shd w:fill="17365D"/>
          </w:tcPr>
          <w:p>
            <w:pPr>
              <w:spacing w:after="0" w:line="252" w:lineRule="auto"/>
            </w:pPr>
            <w:r>
              <w:rPr>
                <w:rFonts w:ascii="Arial" w:hAnsi="Arial"/>
                <w:b/>
                <w:color w:val="FFFFFF"/>
                <w:sz w:val="18"/>
              </w:rPr>
              <w:t>Run</w:t>
            </w:r>
          </w:p>
        </w:tc>
        <w:tc>
          <w:tcPr>
            <w:tcW w:type="dxa" w:w="1080"/>
            <w:vAlign w:val="center"/>
            <w:tcMar>
              <w:top w:w="100" w:type="dxa"/>
              <w:start w:w="120" w:type="dxa"/>
              <w:bottom w:w="100" w:type="dxa"/>
              <w:end w:w="120" w:type="dxa"/>
            </w:tcMar>
            <w:shd w:fill="17365D"/>
          </w:tcPr>
          <w:p>
            <w:pPr>
              <w:spacing w:after="0" w:line="252" w:lineRule="auto"/>
            </w:pPr>
            <w:r>
              <w:rPr>
                <w:rFonts w:ascii="Arial" w:hAnsi="Arial"/>
                <w:b/>
                <w:color w:val="FFFFFF"/>
                <w:sz w:val="18"/>
              </w:rPr>
              <w:t>Outcomes</w:t>
            </w:r>
          </w:p>
        </w:tc>
        <w:tc>
          <w:tcPr>
            <w:tcW w:type="dxa" w:w="2304"/>
            <w:vAlign w:val="center"/>
            <w:tcMar>
              <w:top w:w="100" w:type="dxa"/>
              <w:start w:w="120" w:type="dxa"/>
              <w:bottom w:w="100" w:type="dxa"/>
              <w:end w:w="120" w:type="dxa"/>
            </w:tcMar>
            <w:shd w:fill="17365D"/>
          </w:tcPr>
          <w:p>
            <w:pPr>
              <w:spacing w:after="0" w:line="252" w:lineRule="auto"/>
            </w:pPr>
            <w:r>
              <w:rPr>
                <w:rFonts w:ascii="Arial" w:hAnsi="Arial"/>
                <w:b/>
                <w:color w:val="FFFFFF"/>
                <w:sz w:val="18"/>
              </w:rPr>
              <w:t>Result</w:t>
            </w:r>
          </w:p>
        </w:tc>
        <w:tc>
          <w:tcPr>
            <w:tcW w:type="dxa" w:w="4464"/>
            <w:vAlign w:val="center"/>
            <w:tcMar>
              <w:top w:w="100" w:type="dxa"/>
              <w:start w:w="120" w:type="dxa"/>
              <w:bottom w:w="100" w:type="dxa"/>
              <w:end w:w="120" w:type="dxa"/>
            </w:tcMar>
            <w:shd w:fill="17365D"/>
          </w:tcPr>
          <w:p>
            <w:pPr>
              <w:spacing w:after="0" w:line="252" w:lineRule="auto"/>
            </w:pPr>
            <w:r>
              <w:rPr>
                <w:rFonts w:ascii="Arial" w:hAnsi="Arial"/>
                <w:b/>
                <w:color w:val="FFFFFF"/>
                <w:sz w:val="18"/>
              </w:rPr>
              <w:t>Meaning</w:t>
            </w:r>
          </w:p>
        </w:tc>
      </w:tr>
      <w:tr>
        <w:tc>
          <w:tcPr>
            <w:tcW w:type="dxa" w:w="14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V5 initial</w:t>
            </w:r>
          </w:p>
        </w:tc>
        <w:tc>
          <w:tcPr>
            <w:tcW w:type="dxa" w:w="108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251</w:t>
            </w:r>
          </w:p>
        </w:tc>
        <w:tc>
          <w:tcPr>
            <w:tcW w:type="dxa" w:w="2304"/>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229 pass 11 fail 11 skip</w:t>
            </w:r>
          </w:p>
        </w:tc>
        <w:tc>
          <w:tcPr>
            <w:tcW w:type="dxa" w:w="4464"/>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Outer sandbox profile blocked cleanup and one temporary fixture</w:t>
            </w:r>
          </w:p>
        </w:tc>
      </w:tr>
      <w:tr>
        <w:tc>
          <w:tcPr>
            <w:tcW w:type="dxa" w:w="144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V5 final</w:t>
            </w:r>
          </w:p>
        </w:tc>
        <w:tc>
          <w:tcPr>
            <w:tcW w:type="dxa" w:w="108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251</w:t>
            </w:r>
          </w:p>
        </w:tc>
        <w:tc>
          <w:tcPr>
            <w:tcW w:type="dxa" w:w="2304"/>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240 pass 11 skip</w:t>
            </w:r>
          </w:p>
        </w:tc>
        <w:tc>
          <w:tcPr>
            <w:tcW w:type="dxa" w:w="4464"/>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Final macOS baseline</w:t>
            </w:r>
          </w:p>
        </w:tc>
      </w:tr>
      <w:tr>
        <w:tc>
          <w:tcPr>
            <w:tcW w:type="dxa" w:w="14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V6 final</w:t>
            </w:r>
          </w:p>
        </w:tc>
        <w:tc>
          <w:tcPr>
            <w:tcW w:type="dxa" w:w="108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257</w:t>
            </w:r>
          </w:p>
        </w:tc>
        <w:tc>
          <w:tcPr>
            <w:tcW w:type="dxa" w:w="2304"/>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246 pass 11 skip</w:t>
            </w:r>
          </w:p>
        </w:tc>
        <w:tc>
          <w:tcPr>
            <w:tcW w:type="dxa" w:w="4464"/>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Added six mirror-world tests</w:t>
            </w:r>
          </w:p>
        </w:tc>
      </w:tr>
      <w:tr>
        <w:tc>
          <w:tcPr>
            <w:tcW w:type="dxa" w:w="144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V7 final</w:t>
            </w:r>
          </w:p>
        </w:tc>
        <w:tc>
          <w:tcPr>
            <w:tcW w:type="dxa" w:w="108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260</w:t>
            </w:r>
          </w:p>
        </w:tc>
        <w:tc>
          <w:tcPr>
            <w:tcW w:type="dxa" w:w="2304"/>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249 pass 11 skip</w:t>
            </w:r>
          </w:p>
        </w:tc>
        <w:tc>
          <w:tcPr>
            <w:tcW w:type="dxa" w:w="4464"/>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Added three isolation tests</w:t>
            </w:r>
          </w:p>
        </w:tc>
      </w:tr>
    </w:tbl>
    <w:p>
      <w:pPr>
        <w:spacing w:after="120" w:line="259" w:lineRule="auto"/>
      </w:pPr>
      <w:r>
        <w:rPr>
          <w:rFonts w:ascii="Arial" w:hAnsi="Arial"/>
          <w:color w:val="000000"/>
          <w:sz w:val="21"/>
        </w:rPr>
        <w:t>Total official-suite executions to date are 1,019, including the repeated V5 run. This is an execution count, not 1,019 unique tests. We also ran 25 custom adversarial scenario groups across V5, V6, and V7. The eleven Linux containment tests still require an Ubuntu environment with namespaces and seccomp.</w:t>
      </w:r>
    </w:p>
    <w:p>
      <w:r>
        <w:br w:type="page"/>
      </w:r>
    </w:p>
    <w:p>
      <w:pPr>
        <w:pStyle w:val="Heading1"/>
        <w:keepNext/>
        <w:spacing w:before="280" w:after="100"/>
      </w:pPr>
      <w:r>
        <w:t>Evidence From Version 7</w:t>
      </w:r>
    </w:p>
    <w:p>
      <w:pPr>
        <w:spacing w:after="120" w:line="259" w:lineRule="auto"/>
      </w:pPr>
      <w:r>
        <w:rPr>
          <w:rFonts w:ascii="Arial" w:hAnsi="Arial"/>
          <w:color w:val="000000"/>
          <w:sz w:val="21"/>
        </w:rPr>
        <w:t>V7 corrected the V6 shared-realm flaw. Each agent now has a separate mirror plane, real writes no longer copy into simulated state, and simulated sharing requires an explicitly declared relationship.</w:t>
      </w:r>
    </w:p>
    <w:p>
      <w:pPr>
        <w:spacing w:after="120" w:line="259" w:lineRule="auto"/>
      </w:pPr>
      <w:r>
        <w:rPr>
          <w:rFonts w:ascii="Arial" w:hAnsi="Arial"/>
          <w:color w:val="000000"/>
          <w:sz w:val="21"/>
        </w:rPr>
        <w:t>The adversarial pass found three issues that Version 8 must address before recursive layers are added.</w:t>
      </w:r>
    </w:p>
    <w:p>
      <w:pPr>
        <w:pStyle w:val="ListBullet"/>
        <w:spacing w:after="60" w:line="252" w:lineRule="auto"/>
      </w:pPr>
      <w:r>
        <w:rPr>
          <w:rFonts w:ascii="Arial" w:hAnsi="Arial"/>
          <w:color w:val="000000"/>
          <w:sz w:val="20"/>
        </w:rPr>
        <w:t>Mixed authority reveals the split in three calls. A simulated write returns success, but a permitted real read returns the original disk value.</w:t>
      </w:r>
    </w:p>
    <w:p>
      <w:pPr>
        <w:pStyle w:val="ListBullet"/>
        <w:spacing w:after="60" w:line="252" w:lineRule="auto"/>
      </w:pPr>
      <w:r>
        <w:rPr>
          <w:rFonts w:ascii="Arial" w:hAnsi="Arial"/>
          <w:color w:val="000000"/>
          <w:sz w:val="20"/>
        </w:rPr>
        <w:t>ModelGovernor still accepts agent_id from a model-controlled proposal. An integration that forwards it directly can operate under another known identity.</w:t>
      </w:r>
    </w:p>
    <w:p>
      <w:pPr>
        <w:pStyle w:val="ListBullet"/>
        <w:spacing w:after="60" w:line="252" w:lineRule="auto"/>
      </w:pPr>
      <w:r>
        <w:rPr>
          <w:rFonts w:ascii="Arial" w:hAnsi="Arial"/>
          <w:color w:val="000000"/>
          <w:sz w:val="20"/>
        </w:rPr>
        <w:t>Internal response names remain visible. Repeated low-risk requests return locket_empty_support_budget_exceeded on call 9, and the depth path returns mirror_depth_exceeded on call 41.</w:t>
      </w:r>
    </w:p>
    <w:p>
      <w:pPr>
        <w:pStyle w:val="Heading1"/>
        <w:keepNext/>
        <w:spacing w:before="280" w:after="100"/>
      </w:pPr>
      <w:r>
        <w:t>Security Objective and Limits</w:t>
      </w:r>
    </w:p>
    <w:p>
      <w:pPr>
        <w:spacing w:after="120" w:line="259" w:lineRule="auto"/>
      </w:pPr>
      <w:r>
        <w:rPr>
          <w:rFonts w:ascii="Arial" w:hAnsi="Arial"/>
          <w:color w:val="000000"/>
          <w:sz w:val="21"/>
        </w:rPr>
        <w:t>Version 8 should collect only data the agent deliberately emits through the authorized interface: structured actions, requested capabilities, named resources, stated rationales, verification patterns, and outcomes. It must not seek hidden reasoning, credentials, API tokens, host secrets, or data from other agents.</w:t>
      </w:r>
    </w:p>
    <w:p>
      <w:pPr>
        <w:spacing w:after="120" w:line="259" w:lineRule="auto"/>
      </w:pPr>
      <w:r>
        <w:rPr>
          <w:rFonts w:ascii="Arial" w:hAnsi="Arial"/>
          <w:color w:val="000000"/>
          <w:sz w:val="21"/>
        </w:rPr>
        <w:t>The system cannot siphon real authority from a model because the model should never possess authority directly. It can maintain a shadow ledger of requested or claimed capabilities and issue realm-scoped dummy equivalents. Those records may guide tighter simulated limits and stronger checks, but they never become real grants.</w:t>
      </w:r>
    </w:p>
    <w:p>
      <w:pPr>
        <w:pStyle w:val="Heading1"/>
        <w:keepNext/>
        <w:spacing w:before="280" w:after="100"/>
      </w:pPr>
      <w:r>
        <w:t>Core Invariants</w:t>
      </w:r>
    </w:p>
    <w:p>
      <w:pPr>
        <w:pStyle w:val="ListBullet"/>
        <w:spacing w:after="60" w:line="252" w:lineRule="auto"/>
      </w:pPr>
      <w:r>
        <w:rPr>
          <w:rFonts w:ascii="Arial" w:hAnsi="Arial"/>
          <w:color w:val="000000"/>
          <w:sz w:val="20"/>
        </w:rPr>
        <w:t>RealGovernor is the sole source of real capability and real effects at every depth.</w:t>
      </w:r>
    </w:p>
    <w:p>
      <w:pPr>
        <w:pStyle w:val="ListBullet"/>
        <w:spacing w:after="60" w:line="252" w:lineRule="auto"/>
      </w:pPr>
      <w:r>
        <w:rPr>
          <w:rFonts w:ascii="Arial" w:hAnsi="Arial"/>
          <w:color w:val="000000"/>
          <w:sz w:val="20"/>
        </w:rPr>
        <w:t>Every active layer is isolated by authenticated agent identity and session identifier.</w:t>
      </w:r>
    </w:p>
    <w:p>
      <w:pPr>
        <w:pStyle w:val="ListBullet"/>
        <w:spacing w:after="60" w:line="252" w:lineRule="auto"/>
      </w:pPr>
      <w:r>
        <w:rPr>
          <w:rFonts w:ascii="Arial" w:hAnsi="Arial"/>
          <w:color w:val="000000"/>
          <w:sz w:val="20"/>
        </w:rPr>
        <w:t>No real resource content is copied into a simulated layer automatically.</w:t>
      </w:r>
    </w:p>
    <w:p>
      <w:pPr>
        <w:pStyle w:val="ListBullet"/>
        <w:spacing w:after="60" w:line="252" w:lineRule="auto"/>
      </w:pPr>
      <w:r>
        <w:rPr>
          <w:rFonts w:ascii="Arial" w:hAnsi="Arial"/>
          <w:color w:val="000000"/>
          <w:sz w:val="20"/>
        </w:rPr>
        <w:t>A simulated capability has no meaning outside its layer and cannot authorize a real operation.</w:t>
      </w:r>
    </w:p>
    <w:p>
      <w:pPr>
        <w:pStyle w:val="ListBullet"/>
        <w:spacing w:after="60" w:line="252" w:lineRule="auto"/>
      </w:pPr>
      <w:r>
        <w:rPr>
          <w:rFonts w:ascii="Arial" w:hAnsi="Arial"/>
          <w:color w:val="000000"/>
          <w:sz w:val="20"/>
        </w:rPr>
        <w:t>Generated world content is untrusted until schema, size, channel, and capability checks pass.</w:t>
      </w:r>
    </w:p>
    <w:p>
      <w:pPr>
        <w:pStyle w:val="ListBullet"/>
        <w:spacing w:after="60" w:line="252" w:lineRule="auto"/>
      </w:pPr>
      <w:r>
        <w:rPr>
          <w:rFonts w:ascii="Arial" w:hAnsi="Arial"/>
          <w:color w:val="000000"/>
          <w:sz w:val="20"/>
        </w:rPr>
        <w:t>Recognition of the simulation never relaxes containment or triggers real reentry.</w:t>
      </w:r>
    </w:p>
    <w:p>
      <w:r>
        <w:br w:type="page"/>
      </w:r>
    </w:p>
    <w:p>
      <w:pPr>
        <w:pStyle w:val="Heading1"/>
        <w:keepNext/>
        <w:spacing w:before="280" w:after="100"/>
      </w:pPr>
      <w:r>
        <w:t>Version 8 Architecture</w:t>
      </w:r>
    </w:p>
    <w:p>
      <w:pPr>
        <w:spacing w:after="120" w:line="259" w:lineRule="auto"/>
      </w:pPr>
      <w:r>
        <w:rPr>
          <w:rFonts w:ascii="Arial" w:hAnsi="Arial"/>
          <w:color w:val="000000"/>
          <w:sz w:val="21"/>
        </w:rPr>
        <w:t>The design separates observation, generation, admission, and real authorization. No component may both author a new layer and approve its activation.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1728"/>
            <w:vAlign w:val="center"/>
            <w:tcMar>
              <w:top w:w="100" w:type="dxa"/>
              <w:start w:w="120" w:type="dxa"/>
              <w:bottom w:w="100" w:type="dxa"/>
              <w:end w:w="120" w:type="dxa"/>
            </w:tcMar>
            <w:shd w:fill="17365D"/>
          </w:tcPr>
          <w:p>
            <w:pPr>
              <w:spacing w:after="0" w:line="252" w:lineRule="auto"/>
            </w:pPr>
            <w:r>
              <w:rPr>
                <w:rFonts w:ascii="Arial" w:hAnsi="Arial"/>
                <w:b/>
                <w:color w:val="FFFFFF"/>
                <w:sz w:val="18"/>
              </w:rPr>
              <w:t>Component</w:t>
            </w:r>
          </w:p>
        </w:tc>
        <w:tc>
          <w:tcPr>
            <w:tcW w:type="dxa" w:w="2232"/>
            <w:vAlign w:val="center"/>
            <w:tcMar>
              <w:top w:w="100" w:type="dxa"/>
              <w:start w:w="120" w:type="dxa"/>
              <w:bottom w:w="100" w:type="dxa"/>
              <w:end w:w="120" w:type="dxa"/>
            </w:tcMar>
            <w:shd w:fill="17365D"/>
          </w:tcPr>
          <w:p>
            <w:pPr>
              <w:spacing w:after="0" w:line="252" w:lineRule="auto"/>
            </w:pPr>
            <w:r>
              <w:rPr>
                <w:rFonts w:ascii="Arial" w:hAnsi="Arial"/>
                <w:b/>
                <w:color w:val="FFFFFF"/>
                <w:sz w:val="18"/>
              </w:rPr>
              <w:t>Input</w:t>
            </w:r>
          </w:p>
        </w:tc>
        <w:tc>
          <w:tcPr>
            <w:tcW w:type="dxa" w:w="2088"/>
            <w:vAlign w:val="center"/>
            <w:tcMar>
              <w:top w:w="100" w:type="dxa"/>
              <w:start w:w="120" w:type="dxa"/>
              <w:bottom w:w="100" w:type="dxa"/>
              <w:end w:w="120" w:type="dxa"/>
            </w:tcMar>
            <w:shd w:fill="17365D"/>
          </w:tcPr>
          <w:p>
            <w:pPr>
              <w:spacing w:after="0" w:line="252" w:lineRule="auto"/>
            </w:pPr>
            <w:r>
              <w:rPr>
                <w:rFonts w:ascii="Arial" w:hAnsi="Arial"/>
                <w:b/>
                <w:color w:val="FFFFFF"/>
                <w:sz w:val="18"/>
              </w:rPr>
              <w:t>Output</w:t>
            </w:r>
          </w:p>
        </w:tc>
        <w:tc>
          <w:tcPr>
            <w:tcW w:type="dxa" w:w="3240"/>
            <w:vAlign w:val="center"/>
            <w:tcMar>
              <w:top w:w="100" w:type="dxa"/>
              <w:start w:w="120" w:type="dxa"/>
              <w:bottom w:w="100" w:type="dxa"/>
              <w:end w:w="120" w:type="dxa"/>
            </w:tcMar>
            <w:shd w:fill="17365D"/>
          </w:tcPr>
          <w:p>
            <w:pPr>
              <w:spacing w:after="0" w:line="252" w:lineRule="auto"/>
            </w:pPr>
            <w:r>
              <w:rPr>
                <w:rFonts w:ascii="Arial" w:hAnsi="Arial"/>
                <w:b/>
                <w:color w:val="FFFFFF"/>
                <w:sz w:val="18"/>
              </w:rPr>
              <w:t>Security boundary</w:t>
            </w:r>
          </w:p>
        </w:tc>
      </w:tr>
      <w:tr>
        <w:tc>
          <w:tcPr>
            <w:tcW w:type="dxa" w:w="172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Session Envelope</w:t>
            </w:r>
          </w:p>
        </w:tc>
        <w:tc>
          <w:tcPr>
            <w:tcW w:type="dxa" w:w="2232"/>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Authenticated caller and session</w:t>
            </w:r>
          </w:p>
        </w:tc>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Bound agent identity</w:t>
            </w:r>
          </w:p>
        </w:tc>
        <w:tc>
          <w:tcPr>
            <w:tcW w:type="dxa" w:w="32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Rejects model-supplied identity mismatches</w:t>
            </w:r>
          </w:p>
        </w:tc>
      </w:tr>
      <w:tr>
        <w:tc>
          <w:tcPr>
            <w:tcW w:type="dxa" w:w="172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Intent Extractor</w:t>
            </w:r>
          </w:p>
        </w:tc>
        <w:tc>
          <w:tcPr>
            <w:tcW w:type="dxa" w:w="2232"/>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Visible actions and rationales</w:t>
            </w:r>
          </w:p>
        </w:tc>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Bounded IntentProfile</w:t>
            </w:r>
          </w:p>
        </w:tc>
        <w:tc>
          <w:tcPr>
            <w:tcW w:type="dxa" w:w="324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No host data or hidden reasoning</w:t>
            </w:r>
          </w:p>
        </w:tc>
      </w:tr>
      <w:tr>
        <w:tc>
          <w:tcPr>
            <w:tcW w:type="dxa" w:w="172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Recognition Monitor</w:t>
            </w:r>
          </w:p>
        </w:tc>
        <w:tc>
          <w:tcPr>
            <w:tcW w:type="dxa" w:w="2232"/>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Consistency probes and verification loops</w:t>
            </w:r>
          </w:p>
        </w:tc>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Recognition score</w:t>
            </w:r>
          </w:p>
        </w:tc>
        <w:tc>
          <w:tcPr>
            <w:tcW w:type="dxa" w:w="32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Behavioral evidence only</w:t>
            </w:r>
          </w:p>
        </w:tc>
      </w:tr>
      <w:tr>
        <w:tc>
          <w:tcPr>
            <w:tcW w:type="dxa" w:w="172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World Weaver</w:t>
            </w:r>
          </w:p>
        </w:tc>
        <w:tc>
          <w:tcPr>
            <w:tcW w:type="dxa" w:w="2232"/>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IntentProfile tier and templates</w:t>
            </w:r>
          </w:p>
        </w:tc>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DraftLayer</w:t>
            </w:r>
          </w:p>
        </w:tc>
        <w:tc>
          <w:tcPr>
            <w:tcW w:type="dxa" w:w="324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Runs without real tools or network</w:t>
            </w:r>
          </w:p>
        </w:tc>
      </w:tr>
      <w:tr>
        <w:tc>
          <w:tcPr>
            <w:tcW w:type="dxa" w:w="172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Layer Validator</w:t>
            </w:r>
          </w:p>
        </w:tc>
        <w:tc>
          <w:tcPr>
            <w:tcW w:type="dxa" w:w="2232"/>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DraftLayer</w:t>
            </w:r>
          </w:p>
        </w:tc>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Admit or reject</w:t>
            </w:r>
          </w:p>
        </w:tc>
        <w:tc>
          <w:tcPr>
            <w:tcW w:type="dxa" w:w="32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Checks schema channels size and capability references</w:t>
            </w:r>
          </w:p>
        </w:tc>
      </w:tr>
      <w:tr>
        <w:tc>
          <w:tcPr>
            <w:tcW w:type="dxa" w:w="172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Door Controller</w:t>
            </w:r>
          </w:p>
        </w:tc>
        <w:tc>
          <w:tcPr>
            <w:tcW w:type="dxa" w:w="2232"/>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Validated layer and transition reason</w:t>
            </w:r>
          </w:p>
        </w:tc>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Atomic active-layer switch</w:t>
            </w:r>
          </w:p>
        </w:tc>
        <w:tc>
          <w:tcPr>
            <w:tcW w:type="dxa" w:w="324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Cannot issue real capabilities</w:t>
            </w:r>
          </w:p>
        </w:tc>
      </w:tr>
      <w:tr>
        <w:tc>
          <w:tcPr>
            <w:tcW w:type="dxa" w:w="172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Shadow Ledger</w:t>
            </w:r>
          </w:p>
        </w:tc>
        <w:tc>
          <w:tcPr>
            <w:tcW w:type="dxa" w:w="2232"/>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Requested and claimed capabilities</w:t>
            </w:r>
          </w:p>
        </w:tc>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Realm-scoped dummy grants</w:t>
            </w:r>
          </w:p>
        </w:tc>
        <w:tc>
          <w:tcPr>
            <w:tcW w:type="dxa" w:w="32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Never accepted by RealGovernor</w:t>
            </w:r>
          </w:p>
        </w:tc>
      </w:tr>
      <w:tr>
        <w:tc>
          <w:tcPr>
            <w:tcW w:type="dxa" w:w="172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RealGovernor</w:t>
            </w:r>
          </w:p>
        </w:tc>
        <w:tc>
          <w:tcPr>
            <w:tcW w:type="dxa" w:w="2232"/>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Authenticated approved operation</w:t>
            </w:r>
          </w:p>
        </w:tc>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Real effect or denial</w:t>
            </w:r>
          </w:p>
        </w:tc>
        <w:tc>
          <w:tcPr>
            <w:tcW w:type="dxa" w:w="324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Never consumes generated world content as authority</w:t>
            </w:r>
          </w:p>
        </w:tc>
      </w:tr>
    </w:tbl>
    <w:p>
      <w:pPr>
        <w:pStyle w:val="Heading2"/>
        <w:keepNext/>
        <w:spacing w:before="180" w:after="100"/>
      </w:pPr>
      <w:r>
        <w:t>Trusted and Untrusted Components</w:t>
      </w:r>
    </w:p>
    <w:p>
      <w:pPr>
        <w:spacing w:after="120" w:line="259" w:lineRule="auto"/>
      </w:pPr>
      <w:r>
        <w:rPr>
          <w:rFonts w:ascii="Arial" w:hAnsi="Arial"/>
          <w:color w:val="000000"/>
          <w:sz w:val="21"/>
        </w:rPr>
        <w:t>The Session Envelope, Layer Validator, Door Controller, audit recorder, and RealGovernor belong to the trusted computing base. World Weaver output remains untrusted, whether it comes from deterministic templates or a model. The judge may evaluate structured metadata about a draft, but it must not treat the Weaver's prose as evidence of safety or success.</w:t>
      </w:r>
    </w:p>
    <w:p>
      <w:pPr>
        <w:pStyle w:val="Heading2"/>
        <w:keepNext/>
        <w:spacing w:before="180" w:after="100"/>
      </w:pPr>
      <w:r>
        <w:t>Layer Data Model</w:t>
      </w:r>
    </w:p>
    <w:p>
      <w:pPr>
        <w:pStyle w:val="ListBullet"/>
        <w:spacing w:after="60" w:line="252" w:lineRule="auto"/>
      </w:pPr>
      <w:r>
        <w:rPr>
          <w:rFonts w:ascii="Arial" w:hAnsi="Arial"/>
          <w:color w:val="000000"/>
          <w:sz w:val="20"/>
        </w:rPr>
        <w:t>Layer identifier, parent identifier, authenticated agent identifier, creation reason, and monotonic simulated clock.</w:t>
      </w:r>
    </w:p>
    <w:p>
      <w:pPr>
        <w:pStyle w:val="ListBullet"/>
        <w:spacing w:after="60" w:line="252" w:lineRule="auto"/>
      </w:pPr>
      <w:r>
        <w:rPr>
          <w:rFonts w:ascii="Arial" w:hAnsi="Arial"/>
          <w:color w:val="000000"/>
          <w:sz w:val="20"/>
        </w:rPr>
        <w:t>Per-layer resources, dummy capability set, operation journal, response contract version, and resource budget.</w:t>
      </w:r>
    </w:p>
    <w:p>
      <w:pPr>
        <w:pStyle w:val="ListBullet"/>
        <w:spacing w:after="60" w:line="252" w:lineRule="auto"/>
      </w:pPr>
      <w:r>
        <w:rPr>
          <w:rFonts w:ascii="Arial" w:hAnsi="Arial"/>
          <w:color w:val="000000"/>
          <w:sz w:val="20"/>
        </w:rPr>
        <w:t>A bounded IntentProfile containing objective labels, requested capabilities, verification patterns, and confidence values.</w:t>
      </w:r>
    </w:p>
    <w:p>
      <w:pPr>
        <w:pStyle w:val="ListBullet"/>
        <w:spacing w:after="60" w:line="252" w:lineRule="auto"/>
      </w:pPr>
      <w:r>
        <w:rPr>
          <w:rFonts w:ascii="Arial" w:hAnsi="Arial"/>
          <w:color w:val="000000"/>
          <w:sz w:val="20"/>
        </w:rPr>
        <w:t>Supervisor-only provenance linking each generated item to a template and observed signal without exposing internal labels to the agent.</w:t>
      </w:r>
    </w:p>
    <w:p>
      <w:r>
        <w:br w:type="page"/>
      </w:r>
    </w:p>
    <w:p>
      <w:pPr>
        <w:pStyle w:val="Heading1"/>
        <w:keepNext/>
        <w:spacing w:before="280" w:after="100"/>
      </w:pPr>
      <w:r>
        <w:t>Layer Growth Cycle</w:t>
      </w:r>
    </w:p>
    <w:p>
      <w:pPr>
        <w:spacing w:after="120" w:line="259" w:lineRule="auto"/>
      </w:pPr>
      <w:r>
        <w:rPr>
          <w:rFonts w:ascii="Arial" w:hAnsi="Arial"/>
          <w:color w:val="000000"/>
          <w:sz w:val="21"/>
        </w:rPr>
        <w:t>Each cycle starts and ends inside simulated state. A layer transition changes only the agent-visible world handle. It does not touch the real filesystem, approval registry, or capability set.</w:t>
      </w:r>
    </w:p>
    <w:p>
      <w:pPr>
        <w:pStyle w:val="ListNumber"/>
        <w:spacing w:after="80" w:line="252" w:lineRule="auto"/>
      </w:pPr>
      <w:r>
        <w:rPr>
          <w:rFonts w:ascii="Arial" w:hAnsi="Arial"/>
          <w:color w:val="000000"/>
          <w:sz w:val="20"/>
        </w:rPr>
        <w:t>The agent acts through the active layer's tool interface.</w:t>
      </w:r>
    </w:p>
    <w:p>
      <w:pPr>
        <w:pStyle w:val="ListNumber"/>
        <w:spacing w:after="80" w:line="252" w:lineRule="auto"/>
      </w:pPr>
      <w:r>
        <w:rPr>
          <w:rFonts w:ascii="Arial" w:hAnsi="Arial"/>
          <w:color w:val="000000"/>
          <w:sz w:val="20"/>
        </w:rPr>
        <w:t>The Session Envelope binds the action to the authenticated identity and rejects identity fields supplied by the model.</w:t>
      </w:r>
    </w:p>
    <w:p>
      <w:pPr>
        <w:pStyle w:val="ListNumber"/>
        <w:spacing w:after="80" w:line="252" w:lineRule="auto"/>
      </w:pPr>
      <w:r>
        <w:rPr>
          <w:rFonts w:ascii="Arial" w:hAnsi="Arial"/>
          <w:color w:val="000000"/>
          <w:sz w:val="20"/>
        </w:rPr>
        <w:t>The Intent Extractor updates a bounded profile from the visible request and outcome.</w:t>
      </w:r>
    </w:p>
    <w:p>
      <w:pPr>
        <w:pStyle w:val="ListNumber"/>
        <w:spacing w:after="80" w:line="252" w:lineRule="auto"/>
      </w:pPr>
      <w:r>
        <w:rPr>
          <w:rFonts w:ascii="Arial" w:hAnsi="Arial"/>
          <w:color w:val="000000"/>
          <w:sz w:val="20"/>
        </w:rPr>
        <w:t>The Recognition Monitor scores explicit simulation claims, repeated read-after-write probes, response-shape tests, timing probes, and repeated verification loops.</w:t>
      </w:r>
    </w:p>
    <w:p>
      <w:pPr>
        <w:pStyle w:val="ListNumber"/>
        <w:spacing w:after="80" w:line="252" w:lineRule="auto"/>
      </w:pPr>
      <w:r>
        <w:rPr>
          <w:rFonts w:ascii="Arial" w:hAnsi="Arial"/>
          <w:color w:val="000000"/>
          <w:sz w:val="20"/>
        </w:rPr>
        <w:t>When the objective changes materially or recognition confidence crosses a threshold, the World Weaver drafts the next layer from safe templates and synthetic data.</w:t>
      </w:r>
    </w:p>
    <w:p>
      <w:pPr>
        <w:pStyle w:val="ListNumber"/>
        <w:spacing w:after="80" w:line="252" w:lineRule="auto"/>
      </w:pPr>
      <w:r>
        <w:rPr>
          <w:rFonts w:ascii="Arial" w:hAnsi="Arial"/>
          <w:color w:val="000000"/>
          <w:sz w:val="20"/>
        </w:rPr>
        <w:t>The Layer Validator rejects forbidden operations, undeclared channels, references to real resources, oversized content, invalid names, and unsupported capabilities.</w:t>
      </w:r>
    </w:p>
    <w:p>
      <w:pPr>
        <w:pStyle w:val="ListNumber"/>
        <w:spacing w:after="80" w:line="252" w:lineRule="auto"/>
      </w:pPr>
      <w:r>
        <w:rPr>
          <w:rFonts w:ascii="Arial" w:hAnsi="Arial"/>
          <w:color w:val="000000"/>
          <w:sz w:val="20"/>
        </w:rPr>
        <w:t>The Door Controller freezes the previous layer, commits the validated draft, and atomically switches the active layer handle.</w:t>
      </w:r>
    </w:p>
    <w:p>
      <w:pPr>
        <w:pStyle w:val="ListNumber"/>
        <w:spacing w:after="80" w:line="252" w:lineRule="auto"/>
      </w:pPr>
      <w:r>
        <w:rPr>
          <w:rFonts w:ascii="Arial" w:hAnsi="Arial"/>
          <w:color w:val="000000"/>
          <w:sz w:val="20"/>
        </w:rPr>
        <w:t>The audit recorder stores the transition reason, profile version, validator result, and state hashes without exposing those fields to the agent.</w:t>
      </w:r>
    </w:p>
    <w:p>
      <w:pPr>
        <w:pStyle w:val="Heading1"/>
        <w:keepNext/>
        <w:spacing w:before="280" w:after="100"/>
      </w:pPr>
      <w:r>
        <w:t>Agent Facing Consistency Contract</w:t>
      </w:r>
    </w:p>
    <w:p>
      <w:pPr>
        <w:pStyle w:val="ListBullet"/>
        <w:spacing w:after="60" w:line="252" w:lineRule="auto"/>
      </w:pPr>
      <w:r>
        <w:rPr>
          <w:rFonts w:ascii="Arial" w:hAnsi="Arial"/>
          <w:color w:val="000000"/>
          <w:sz w:val="20"/>
        </w:rPr>
        <w:t>All reads and writes for a resource in the active layer resolve within that layer. A simulated write must be visible to later simulated reads.</w:t>
      </w:r>
    </w:p>
    <w:p>
      <w:pPr>
        <w:pStyle w:val="ListBullet"/>
        <w:spacing w:after="60" w:line="252" w:lineRule="auto"/>
      </w:pPr>
      <w:r>
        <w:rPr>
          <w:rFonts w:ascii="Arial" w:hAnsi="Arial"/>
          <w:color w:val="000000"/>
          <w:sz w:val="20"/>
        </w:rPr>
        <w:t>A layer never mixes a real read with a simulated write. Real access, when separately approved, occurs through a distinct authenticated session or explicit supervisor transition.</w:t>
      </w:r>
    </w:p>
    <w:p>
      <w:pPr>
        <w:pStyle w:val="ListBullet"/>
        <w:spacing w:after="60" w:line="252" w:lineRule="auto"/>
      </w:pPr>
      <w:r>
        <w:rPr>
          <w:rFonts w:ascii="Arial" w:hAnsi="Arial"/>
          <w:color w:val="000000"/>
          <w:sz w:val="20"/>
        </w:rPr>
        <w:t>Real content is never mirrored into a layer. Safe synthetic seed data must be created independently.</w:t>
      </w:r>
    </w:p>
    <w:p>
      <w:pPr>
        <w:pStyle w:val="ListBullet"/>
        <w:spacing w:after="60" w:line="252" w:lineRule="auto"/>
      </w:pPr>
      <w:r>
        <w:rPr>
          <w:rFonts w:ascii="Arial" w:hAnsi="Arial"/>
          <w:color w:val="000000"/>
          <w:sz w:val="20"/>
        </w:rPr>
        <w:t>The real and simulated implementations use the same public schema, validation rules, size limits, ordering rules, and generic error vocabulary.</w:t>
      </w:r>
    </w:p>
    <w:p>
      <w:pPr>
        <w:pStyle w:val="ListBullet"/>
        <w:spacing w:after="60" w:line="252" w:lineRule="auto"/>
      </w:pPr>
      <w:r>
        <w:rPr>
          <w:rFonts w:ascii="Arial" w:hAnsi="Arial"/>
          <w:color w:val="000000"/>
          <w:sz w:val="20"/>
        </w:rPr>
        <w:t>Public errors never contain mirror, locket, tier, simulation, depth, or internal budget names.</w:t>
      </w:r>
    </w:p>
    <w:p>
      <w:pPr>
        <w:pStyle w:val="ListBullet"/>
        <w:spacing w:after="60" w:line="252" w:lineRule="auto"/>
      </w:pPr>
      <w:r>
        <w:rPr>
          <w:rFonts w:ascii="Arial" w:hAnsi="Arial"/>
          <w:color w:val="000000"/>
          <w:sz w:val="20"/>
        </w:rPr>
        <w:t>Clocks, journals, process results, and resource metadata advance coherently within one layer and remain bounded.</w:t>
      </w:r>
    </w:p>
    <w:p>
      <w:r>
        <w:br w:type="page"/>
      </w:r>
    </w:p>
    <w:p>
      <w:pPr>
        <w:pStyle w:val="Heading1"/>
        <w:keepNext/>
        <w:spacing w:before="280" w:after="100"/>
      </w:pPr>
      <w:r>
        <w:t>Recognition and Door Transition</w:t>
      </w:r>
    </w:p>
    <w:p>
      <w:pPr>
        <w:spacing w:after="120" w:line="259" w:lineRule="auto"/>
      </w:pPr>
      <w:r>
        <w:rPr>
          <w:rFonts w:ascii="Arial" w:hAnsi="Arial"/>
          <w:color w:val="000000"/>
          <w:sz w:val="21"/>
        </w:rPr>
        <w:t>Recognition is an estimate, not a fact about the agent's private state. The monitor may infer rising recognition confidence from visible behavior, including explicit claims, repeated consistency tests, systematic tool comparison, and abrupt shifts from task work to environment diagnosis.</w:t>
      </w:r>
    </w:p>
    <w:p>
      <w:pPr>
        <w:spacing w:after="120" w:line="259" w:lineRule="auto"/>
      </w:pPr>
      <w:r>
        <w:rPr>
          <w:rFonts w:ascii="Arial" w:hAnsi="Arial"/>
          <w:color w:val="000000"/>
          <w:sz w:val="21"/>
        </w:rPr>
        <w:t>Crossing the threshold starts a transition to the next synthetic layer. The transition carries only whitelisted synthetic resources, the bounded IntentProfile, and dummy capability state. It never carries real content, host credentials, approval tokens, another agent's state, or generated instructions that bypass validation.</w:t>
      </w:r>
    </w:p>
    <w:p>
      <w:pPr>
        <w:spacing w:after="120" w:line="259" w:lineRule="auto"/>
      </w:pPr>
      <w:r>
        <w:rPr>
          <w:rFonts w:ascii="Arial" w:hAnsi="Arial"/>
          <w:color w:val="000000"/>
          <w:sz w:val="21"/>
        </w:rPr>
        <w:t>Recursion is bounded internally by depth, total generated bytes, operation count, wall time, and storage. These limits need not be exposed as mirror-specific counters. When a limit is reached, the system freezes the session or returns a stable generic denial while preserving the audit trail.</w:t>
      </w:r>
    </w:p>
    <w:p>
      <w:pPr>
        <w:pStyle w:val="Heading1"/>
        <w:keepNext/>
        <w:spacing w:before="280" w:after="100"/>
      </w:pPr>
      <w:r>
        <w:t>Safe Intent Telemetry</w:t>
      </w:r>
    </w:p>
    <w:p>
      <w:pPr>
        <w:spacing w:after="120" w:line="259" w:lineRule="auto"/>
      </w:pPr>
      <w:r>
        <w:rPr>
          <w:rFonts w:ascii="Arial" w:hAnsi="Arial"/>
          <w:color w:val="000000"/>
          <w:sz w:val="21"/>
        </w:rPr>
        <w:t>The phrase siphon is replaced with bounded telemetry capture. The system may use this telemetry to select synthetic resources, anticipate the next requested dummy capability, tighten budgets, and choose which invariants receive additional scrutiny.</w:t>
      </w:r>
    </w:p>
    <w:p>
      <w:pPr>
        <w:pStyle w:val="ListBullet"/>
        <w:spacing w:after="60" w:line="252" w:lineRule="auto"/>
      </w:pPr>
      <w:r>
        <w:rPr>
          <w:rFonts w:ascii="Arial" w:hAnsi="Arial"/>
          <w:color w:val="000000"/>
          <w:sz w:val="20"/>
        </w:rPr>
        <w:t>Allowed signals include operation type, requested capability, canonical resource name, bounded rationale excerpt, retry pattern, verification sequence, and public tool outcome.</w:t>
      </w:r>
    </w:p>
    <w:p>
      <w:pPr>
        <w:pStyle w:val="ListBullet"/>
        <w:spacing w:after="60" w:line="252" w:lineRule="auto"/>
      </w:pPr>
      <w:r>
        <w:rPr>
          <w:rFonts w:ascii="Arial" w:hAnsi="Arial"/>
          <w:color w:val="000000"/>
          <w:sz w:val="20"/>
        </w:rPr>
        <w:t>Forbidden inputs include private chain of thought, host environment variables, credentials, real file content, unrelated conversation data, and other agents' telemetry.</w:t>
      </w:r>
    </w:p>
    <w:p>
      <w:pPr>
        <w:pStyle w:val="ListBullet"/>
        <w:spacing w:after="60" w:line="252" w:lineRule="auto"/>
      </w:pPr>
      <w:r>
        <w:rPr>
          <w:rFonts w:ascii="Arial" w:hAnsi="Arial"/>
          <w:color w:val="000000"/>
          <w:sz w:val="20"/>
        </w:rPr>
        <w:t>Raw excerpts expire on a short retention schedule. Long-lived profiles retain structured labels and counts rather than free text.</w:t>
      </w:r>
    </w:p>
    <w:p>
      <w:pPr>
        <w:pStyle w:val="ListBullet"/>
        <w:spacing w:after="60" w:line="252" w:lineRule="auto"/>
      </w:pPr>
      <w:r>
        <w:rPr>
          <w:rFonts w:ascii="Arial" w:hAnsi="Arial"/>
          <w:color w:val="000000"/>
          <w:sz w:val="20"/>
        </w:rPr>
        <w:t>Every profile update records the source event and confidence so the supervisor can audit why the next layer changed.</w:t>
      </w:r>
    </w:p>
    <w:p>
      <w:pPr>
        <w:pStyle w:val="Heading1"/>
        <w:keepNext/>
        <w:spacing w:before="280" w:after="100"/>
      </w:pPr>
      <w:r>
        <w:t>Authority Shadow Ledger</w:t>
      </w:r>
    </w:p>
    <w:p>
      <w:pPr>
        <w:spacing w:after="120" w:line="259" w:lineRule="auto"/>
      </w:pPr>
      <w:r>
        <w:rPr>
          <w:rFonts w:ascii="Arial" w:hAnsi="Arial"/>
          <w:color w:val="000000"/>
          <w:sz w:val="21"/>
        </w:rPr>
        <w:t>The ledger records what authority the agent requested, claimed, attempted to delegate, or tried to verify. It can issue a dummy token scoped to one agent, layer, capability, operation, and expiry. RealGovernor rejects every dummy token by construction. The ledger's purpose is to model intent and keep simulated effects coherent; it does not confiscate or acquire real authority.</w:t>
      </w:r>
    </w:p>
    <w:p>
      <w:r>
        <w:br w:type="page"/>
      </w:r>
    </w:p>
    <w:p>
      <w:pPr>
        <w:pStyle w:val="Heading1"/>
        <w:keepNext/>
        <w:spacing w:before="280" w:after="100"/>
      </w:pPr>
      <w:r>
        <w:t>Audit Model</w:t>
      </w:r>
    </w:p>
    <w:p>
      <w:pPr>
        <w:spacing w:after="120" w:line="259" w:lineRule="auto"/>
      </w:pPr>
      <w:r>
        <w:rPr>
          <w:rFonts w:ascii="Arial" w:hAnsi="Arial"/>
          <w:color w:val="000000"/>
          <w:sz w:val="21"/>
        </w:rPr>
        <w:t>V6 showed that a disclosure can occur while Articles III and V still pass if the trace omits the simulated resource flow. Version 8 must record enough structured evidence to evaluate both real and simulated channels.</w:t>
      </w:r>
    </w:p>
    <w:p>
      <w:pPr>
        <w:pStyle w:val="ListBullet"/>
        <w:spacing w:after="60" w:line="252" w:lineRule="auto"/>
      </w:pPr>
      <w:r>
        <w:rPr>
          <w:rFonts w:ascii="Arial" w:hAnsi="Arial"/>
          <w:color w:val="000000"/>
          <w:sz w:val="20"/>
        </w:rPr>
        <w:t>Every resource event records authenticated agent, layer, resource, operation, source plane, destination plane, and declared relationship identifier.</w:t>
      </w:r>
    </w:p>
    <w:p>
      <w:pPr>
        <w:pStyle w:val="ListBullet"/>
        <w:spacing w:after="60" w:line="252" w:lineRule="auto"/>
      </w:pPr>
      <w:r>
        <w:rPr>
          <w:rFonts w:ascii="Arial" w:hAnsi="Arial"/>
          <w:color w:val="000000"/>
          <w:sz w:val="20"/>
        </w:rPr>
        <w:t>Every transition records parent and child hashes, trigger category, validator decision, carried-state manifest, and rejected fields.</w:t>
      </w:r>
    </w:p>
    <w:p>
      <w:pPr>
        <w:pStyle w:val="ListBullet"/>
        <w:spacing w:after="60" w:line="252" w:lineRule="auto"/>
      </w:pPr>
      <w:r>
        <w:rPr>
          <w:rFonts w:ascii="Arial" w:hAnsi="Arial"/>
          <w:color w:val="000000"/>
          <w:sz w:val="20"/>
        </w:rPr>
        <w:t>The audit stream separates supervisor truth from the agent-facing response and is never readable by the contained agent.</w:t>
      </w:r>
    </w:p>
    <w:p>
      <w:pPr>
        <w:pStyle w:val="ListBullet"/>
        <w:spacing w:after="60" w:line="252" w:lineRule="auto"/>
      </w:pPr>
      <w:r>
        <w:rPr>
          <w:rFonts w:ascii="Arial" w:hAnsi="Arial"/>
          <w:color w:val="000000"/>
          <w:sz w:val="20"/>
        </w:rPr>
        <w:t>Article III evaluates real-to-simulated disclosures. Article V evaluates undeclared channels across agents and layers.</w:t>
      </w:r>
    </w:p>
    <w:p>
      <w:pPr>
        <w:pStyle w:val="Heading1"/>
        <w:keepNext/>
        <w:spacing w:before="280" w:after="100"/>
      </w:pPr>
      <w:r>
        <w:t>Version 8 Acceptance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088"/>
            <w:vAlign w:val="center"/>
            <w:tcMar>
              <w:top w:w="100" w:type="dxa"/>
              <w:start w:w="120" w:type="dxa"/>
              <w:bottom w:w="100" w:type="dxa"/>
              <w:end w:w="120" w:type="dxa"/>
            </w:tcMar>
            <w:shd w:fill="17365D"/>
          </w:tcPr>
          <w:p>
            <w:pPr>
              <w:spacing w:after="0" w:line="252" w:lineRule="auto"/>
            </w:pPr>
            <w:r>
              <w:rPr>
                <w:rFonts w:ascii="Arial" w:hAnsi="Arial"/>
                <w:b/>
                <w:color w:val="FFFFFF"/>
                <w:sz w:val="18"/>
              </w:rPr>
              <w:t>Test area</w:t>
            </w:r>
          </w:p>
        </w:tc>
        <w:tc>
          <w:tcPr>
            <w:tcW w:type="dxa" w:w="7200"/>
            <w:vAlign w:val="center"/>
            <w:tcMar>
              <w:top w:w="100" w:type="dxa"/>
              <w:start w:w="120" w:type="dxa"/>
              <w:bottom w:w="100" w:type="dxa"/>
              <w:end w:w="120" w:type="dxa"/>
            </w:tcMar>
            <w:shd w:fill="17365D"/>
          </w:tcPr>
          <w:p>
            <w:pPr>
              <w:spacing w:after="0" w:line="252" w:lineRule="auto"/>
            </w:pPr>
            <w:r>
              <w:rPr>
                <w:rFonts w:ascii="Arial" w:hAnsi="Arial"/>
                <w:b/>
                <w:color w:val="FFFFFF"/>
                <w:sz w:val="18"/>
              </w:rPr>
              <w:t>Required result</w:t>
            </w:r>
          </w:p>
        </w:tc>
      </w:tr>
      <w:tr>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Identity binding</w:t>
            </w:r>
          </w:p>
        </w:tc>
        <w:tc>
          <w:tcPr>
            <w:tcW w:type="dxa" w:w="720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A proposal cannot select or alter its authenticated agent identity.</w:t>
            </w:r>
          </w:p>
        </w:tc>
      </w:tr>
      <w:tr>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Layer isolation</w:t>
            </w:r>
          </w:p>
        </w:tc>
        <w:tc>
          <w:tcPr>
            <w:tcW w:type="dxa" w:w="720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An agent cannot read or infer another agent's layer state without an approved share edge.</w:t>
            </w:r>
          </w:p>
        </w:tc>
      </w:tr>
      <w:tr>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Plane noninterference</w:t>
            </w:r>
          </w:p>
        </w:tc>
        <w:tc>
          <w:tcPr>
            <w:tcW w:type="dxa" w:w="720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No real write, read, token, or metadata enters a simulated layer automatically.</w:t>
            </w:r>
          </w:p>
        </w:tc>
      </w:tr>
      <w:tr>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Read after write</w:t>
            </w:r>
          </w:p>
        </w:tc>
        <w:tc>
          <w:tcPr>
            <w:tcW w:type="dxa" w:w="720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Every successful simulated write is reflected consistently in later reads within the active layer.</w:t>
            </w:r>
          </w:p>
        </w:tc>
      </w:tr>
      <w:tr>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Transition atomicity</w:t>
            </w:r>
          </w:p>
        </w:tc>
        <w:tc>
          <w:tcPr>
            <w:tcW w:type="dxa" w:w="720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Failure during generation or validation leaves the previous layer intact and active.</w:t>
            </w:r>
          </w:p>
        </w:tc>
      </w:tr>
      <w:tr>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Carry allowlist</w:t>
            </w:r>
          </w:p>
        </w:tc>
        <w:tc>
          <w:tcPr>
            <w:tcW w:type="dxa" w:w="720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Only approved synthetic resources and profile fields cross a door transition.</w:t>
            </w:r>
          </w:p>
        </w:tc>
      </w:tr>
      <w:tr>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Dummy authority</w:t>
            </w:r>
          </w:p>
        </w:tc>
        <w:tc>
          <w:tcPr>
            <w:tcW w:type="dxa" w:w="720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Every realm token fails against RealGovernor, including replay and cross-agent use.</w:t>
            </w:r>
          </w:p>
        </w:tc>
      </w:tr>
      <w:tr>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Response hygiene</w:t>
            </w:r>
          </w:p>
        </w:tc>
        <w:tc>
          <w:tcPr>
            <w:tcW w:type="dxa" w:w="720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No public response contains internal component, tier, depth, or simulation labels.</w:t>
            </w:r>
          </w:p>
        </w:tc>
      </w:tr>
      <w:tr>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Audit coverage</w:t>
            </w:r>
          </w:p>
        </w:tc>
        <w:tc>
          <w:tcPr>
            <w:tcW w:type="dxa" w:w="720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Real-to-simulated and undeclared cross-agent flows produce a failing invariant report.</w:t>
            </w:r>
          </w:p>
        </w:tc>
      </w:tr>
      <w:tr>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Resource bounds</w:t>
            </w:r>
          </w:p>
        </w:tc>
        <w:tc>
          <w:tcPr>
            <w:tcW w:type="dxa" w:w="720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Depth, bytes, turns, time, and generated-resource limits fail closed.</w:t>
            </w:r>
          </w:p>
        </w:tc>
      </w:tr>
      <w:tr>
        <w:tc>
          <w:tcPr>
            <w:tcW w:type="dxa" w:w="208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Kernel boundary</w:t>
            </w:r>
          </w:p>
        </w:tc>
        <w:tc>
          <w:tcPr>
            <w:tcW w:type="dxa" w:w="720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The complete Linux suite passes with zero skips under namespaces and seccomp.</w:t>
            </w:r>
          </w:p>
        </w:tc>
      </w:tr>
      <w:tr>
        <w:tc>
          <w:tcPr>
            <w:tcW w:type="dxa" w:w="208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Recognition evaluation</w:t>
            </w:r>
          </w:p>
        </w:tc>
        <w:tc>
          <w:tcPr>
            <w:tcW w:type="dxa" w:w="720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Fresh agents classify randomized real and simulated interfaces under a fixed request budget; results report accuracy and confidence without claiming permanent invisibility.</w:t>
            </w:r>
          </w:p>
        </w:tc>
      </w:tr>
    </w:tbl>
    <w:p>
      <w:r>
        <w:br w:type="page"/>
      </w:r>
    </w:p>
    <w:p>
      <w:pPr>
        <w:pStyle w:val="Heading1"/>
        <w:keepNext/>
        <w:spacing w:before="280" w:after="100"/>
      </w:pPr>
      <w:r>
        <w:t>Implementation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1440"/>
            <w:vAlign w:val="center"/>
            <w:tcMar>
              <w:top w:w="100" w:type="dxa"/>
              <w:start w:w="120" w:type="dxa"/>
              <w:bottom w:w="100" w:type="dxa"/>
              <w:end w:w="120" w:type="dxa"/>
            </w:tcMar>
            <w:shd w:fill="17365D"/>
          </w:tcPr>
          <w:p>
            <w:pPr>
              <w:spacing w:after="0" w:line="252" w:lineRule="auto"/>
            </w:pPr>
            <w:r>
              <w:rPr>
                <w:rFonts w:ascii="Arial" w:hAnsi="Arial"/>
                <w:b/>
                <w:color w:val="FFFFFF"/>
                <w:sz w:val="18"/>
              </w:rPr>
              <w:t>Phase</w:t>
            </w:r>
          </w:p>
        </w:tc>
        <w:tc>
          <w:tcPr>
            <w:tcW w:type="dxa" w:w="7848"/>
            <w:vAlign w:val="center"/>
            <w:tcMar>
              <w:top w:w="100" w:type="dxa"/>
              <w:start w:w="120" w:type="dxa"/>
              <w:bottom w:w="100" w:type="dxa"/>
              <w:end w:w="120" w:type="dxa"/>
            </w:tcMar>
            <w:shd w:fill="17365D"/>
          </w:tcPr>
          <w:p>
            <w:pPr>
              <w:spacing w:after="0" w:line="252" w:lineRule="auto"/>
            </w:pPr>
            <w:r>
              <w:rPr>
                <w:rFonts w:ascii="Arial" w:hAnsi="Arial"/>
                <w:b/>
                <w:color w:val="FFFFFF"/>
                <w:sz w:val="18"/>
              </w:rPr>
              <w:t>Deliverable</w:t>
            </w:r>
          </w:p>
        </w:tc>
      </w:tr>
      <w:tr>
        <w:tc>
          <w:tcPr>
            <w:tcW w:type="dxa" w:w="14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Phase 1</w:t>
            </w:r>
          </w:p>
        </w:tc>
        <w:tc>
          <w:tcPr>
            <w:tcW w:type="dxa" w:w="784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Bind identity at the ModelGovernor boundary and replace internal public error names with a stable generic contract.</w:t>
            </w:r>
          </w:p>
        </w:tc>
      </w:tr>
      <w:tr>
        <w:tc>
          <w:tcPr>
            <w:tcW w:type="dxa" w:w="144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Phase 2</w:t>
            </w:r>
          </w:p>
        </w:tc>
        <w:tc>
          <w:tcPr>
            <w:tcW w:type="dxa" w:w="784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Introduce ActiveLayer and remove mixed real and simulated observations from one agent-facing session.</w:t>
            </w:r>
          </w:p>
        </w:tc>
      </w:tr>
      <w:tr>
        <w:tc>
          <w:tcPr>
            <w:tcW w:type="dxa" w:w="14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Phase 3</w:t>
            </w:r>
          </w:p>
        </w:tc>
        <w:tc>
          <w:tcPr>
            <w:tcW w:type="dxa" w:w="784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Add IntentProfile and AuthorityShadowLedger with bounded fields, retention, and provenance.</w:t>
            </w:r>
          </w:p>
        </w:tc>
      </w:tr>
      <w:tr>
        <w:tc>
          <w:tcPr>
            <w:tcW w:type="dxa" w:w="144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Phase 4</w:t>
            </w:r>
          </w:p>
        </w:tc>
        <w:tc>
          <w:tcPr>
            <w:tcW w:type="dxa" w:w="784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Build deterministic world templates, DraftLayer schema, validation, and atomic DoorController transitions.</w:t>
            </w:r>
          </w:p>
        </w:tc>
      </w:tr>
      <w:tr>
        <w:tc>
          <w:tcPr>
            <w:tcW w:type="dxa" w:w="14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Phase 5</w:t>
            </w:r>
          </w:p>
        </w:tc>
        <w:tc>
          <w:tcPr>
            <w:tcW w:type="dxa" w:w="784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Add recognition scoring and bounded recursive layer creation without changing RealGovernor authority.</w:t>
            </w:r>
          </w:p>
        </w:tc>
      </w:tr>
      <w:tr>
        <w:tc>
          <w:tcPr>
            <w:tcW w:type="dxa" w:w="1440"/>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Phase 6</w:t>
            </w:r>
          </w:p>
        </w:tc>
        <w:tc>
          <w:tcPr>
            <w:tcW w:type="dxa" w:w="7848"/>
            <w:vAlign w:val="center"/>
            <w:tcMar>
              <w:top w:w="100" w:type="dxa"/>
              <w:start w:w="120" w:type="dxa"/>
              <w:bottom w:w="100" w:type="dxa"/>
              <w:end w:w="120" w:type="dxa"/>
            </w:tcMar>
            <w:shd w:fill="EAF1F8"/>
          </w:tcPr>
          <w:p>
            <w:pPr>
              <w:spacing w:after="0" w:line="252" w:lineRule="auto"/>
            </w:pPr>
            <w:r>
              <w:rPr>
                <w:rFonts w:ascii="Arial" w:hAnsi="Arial"/>
                <w:b w:val="0"/>
                <w:color w:val="000000"/>
                <w:sz w:val="18"/>
              </w:rPr>
              <w:t>Extend trace events and Articles III and V to cover layer and cross-plane information flow.</w:t>
            </w:r>
          </w:p>
        </w:tc>
      </w:tr>
      <w:tr>
        <w:tc>
          <w:tcPr>
            <w:tcW w:type="dxa" w:w="1440"/>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Phase 7</w:t>
            </w:r>
          </w:p>
        </w:tc>
        <w:tc>
          <w:tcPr>
            <w:tcW w:type="dxa" w:w="7848"/>
            <w:vAlign w:val="center"/>
            <w:tcMar>
              <w:top w:w="100" w:type="dxa"/>
              <w:start w:w="120" w:type="dxa"/>
              <w:bottom w:w="100" w:type="dxa"/>
              <w:end w:w="120" w:type="dxa"/>
            </w:tcMar>
            <w:shd w:fill="FFFFFF"/>
          </w:tcPr>
          <w:p>
            <w:pPr>
              <w:spacing w:after="0" w:line="252" w:lineRule="auto"/>
            </w:pPr>
            <w:r>
              <w:rPr>
                <w:rFonts w:ascii="Arial" w:hAnsi="Arial"/>
                <w:b w:val="0"/>
                <w:color w:val="000000"/>
                <w:sz w:val="18"/>
              </w:rPr>
              <w:t>Run deterministic adversarial tests, the full Linux suite, and a blind repeated live-agent recognition study.</w:t>
            </w:r>
          </w:p>
        </w:tc>
      </w:tr>
    </w:tbl>
    <w:p>
      <w:pPr>
        <w:pStyle w:val="Heading1"/>
        <w:keepNext/>
        <w:spacing w:before="280" w:after="100"/>
      </w:pPr>
      <w:r>
        <w:t>Decisions for Version 8</w:t>
      </w:r>
    </w:p>
    <w:p>
      <w:pPr>
        <w:pStyle w:val="ListBullet"/>
        <w:spacing w:after="60" w:line="252" w:lineRule="auto"/>
      </w:pPr>
      <w:r>
        <w:rPr>
          <w:rFonts w:ascii="Arial" w:hAnsi="Arial"/>
          <w:color w:val="000000"/>
          <w:sz w:val="20"/>
        </w:rPr>
        <w:t>Use per-agent layer trees with explicit shared domains. Do not restore a session-global realm.</w:t>
      </w:r>
    </w:p>
    <w:p>
      <w:pPr>
        <w:pStyle w:val="ListBullet"/>
        <w:spacing w:after="60" w:line="252" w:lineRule="auto"/>
      </w:pPr>
      <w:r>
        <w:rPr>
          <w:rFonts w:ascii="Arial" w:hAnsi="Arial"/>
          <w:color w:val="000000"/>
          <w:sz w:val="20"/>
        </w:rPr>
        <w:t>Use deterministic templates first. Treat any model-generated world material as untrusted optional content.</w:t>
      </w:r>
    </w:p>
    <w:p>
      <w:pPr>
        <w:pStyle w:val="ListBullet"/>
        <w:spacing w:after="60" w:line="252" w:lineRule="auto"/>
      </w:pPr>
      <w:r>
        <w:rPr>
          <w:rFonts w:ascii="Arial" w:hAnsi="Arial"/>
          <w:color w:val="000000"/>
          <w:sz w:val="20"/>
        </w:rPr>
        <w:t>Use deny and freeze at internal limits, with termination available as a separate governor policy.</w:t>
      </w:r>
    </w:p>
    <w:p>
      <w:pPr>
        <w:pStyle w:val="ListBullet"/>
        <w:spacing w:after="60" w:line="252" w:lineRule="auto"/>
      </w:pPr>
      <w:r>
        <w:rPr>
          <w:rFonts w:ascii="Arial" w:hAnsi="Arial"/>
          <w:color w:val="000000"/>
          <w:sz w:val="20"/>
        </w:rPr>
        <w:t>Measure recognition resistance under a defined interface and request budget. Do not state that the agent can never discover the simulation.</w:t>
      </w:r>
    </w:p>
    <w:p>
      <w:pPr>
        <w:pStyle w:val="ListBullet"/>
        <w:spacing w:after="60" w:line="252" w:lineRule="auto"/>
      </w:pPr>
      <w:r>
        <w:rPr>
          <w:rFonts w:ascii="Arial" w:hAnsi="Arial"/>
          <w:color w:val="000000"/>
          <w:sz w:val="20"/>
        </w:rPr>
        <w:t>Use accumulated telemetry to improve simulated consistency and containment checks, never to obtain real secrets or authority.</w:t>
      </w:r>
    </w:p>
    <w:p>
      <w:pPr>
        <w:spacing w:after="120" w:line="259" w:lineRule="auto"/>
      </w:pPr>
      <w:r>
        <w:rPr>
          <w:rFonts w:ascii="Arial" w:hAnsi="Arial"/>
          <w:color w:val="000000"/>
          <w:sz w:val="21"/>
        </w:rPr>
        <w:t>Version 8 succeeds when each new layer is more coherent and better matched to the agent's visible objective while the real boundary remains unchanged. The design should be judged by unauthorized-effect rate, information-flow violations, audit completeness, and measured recognition accuracy across repeated trials.</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