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280"/>
              <w:left w:type="dxa" w:w="280"/>
              <w:bottom w:type="dxa" w:w="280"/>
              <w:right w:type="dxa" w:w="280"/>
            </w:tcMar>
          </w:tcPr>
          <w:p>
            <w:pPr>
              <w:jc w:val="center"/>
            </w:pPr>
            <w:r>
              <w:rPr>
                <w:rFonts w:ascii="Arial" w:cs="Arial" w:eastAsia="Arial" w:hAnsi="Arial"/>
                <w:b/>
                <w:bCs/>
                <w:color w:val="FFFFFF"/>
                <w:sz w:val="28"/>
                <w:szCs w:val="28"/>
              </w:rPr>
              <w:t xml:space="preserve">CS5202 — Generative AI and LLM</w:t>
            </w:r>
          </w:p>
          <w:p>
            <w:pPr>
              <w:jc w:val="center"/>
            </w:pPr>
            <w:r>
              <w:rPr>
                <w:rFonts w:ascii="Arial" w:cs="Arial" w:eastAsia="Arial" w:hAnsi="Arial"/>
                <w:color w:val="AACCEE"/>
                <w:sz w:val="22"/>
                <w:szCs w:val="22"/>
              </w:rPr>
              <w:t xml:space="preserve">Spring 2026  |  Final Report</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6DA4"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Reliable Clinical NLP using Retrieval-Augmented LLMs</w:t>
            </w:r>
          </w:p>
          <w:p>
            <w:pPr>
              <w:jc w:val="center"/>
            </w:pPr>
            <w:r>
              <w:rPr>
                <w:rFonts w:ascii="Arial" w:cs="Arial" w:eastAsia="Arial" w:hAnsi="Arial"/>
                <w:b/>
                <w:bCs/>
                <w:color w:val="FFFFFF"/>
                <w:sz w:val="28"/>
                <w:szCs w:val="28"/>
              </w:rPr>
              <w:t xml:space="preserve">with Continuous Knowledge Updating</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Course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CS5202 — GenAI and LLM, Spring 2026</w:t>
            </w:r>
          </w:p>
        </w:tc>
      </w:tr>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Instructor</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Prof. Nidhi Goyal</w:t>
            </w:r>
          </w:p>
        </w:tc>
      </w:tr>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Domain</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Medical GenAI (Domain E)</w:t>
            </w:r>
          </w:p>
        </w:tc>
      </w:tr>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Project</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Project 19/20  |  Team No. 2</w:t>
            </w:r>
          </w:p>
        </w:tc>
      </w:tr>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Repository</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github.com/Rick-Roy-JC/GENAI-ECM008-021-006</w:t>
            </w:r>
          </w:p>
        </w:tc>
      </w:tr>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Final Evaluation</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May 15, 2026</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Name</w:t>
            </w:r>
          </w:p>
        </w:tc>
        <w:tc>
          <w:tcPr>
            <w:tcW w:type="dxa" w:w="3009"/>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Roll Number</w:t>
            </w:r>
          </w:p>
        </w:tc>
        <w:tc>
          <w:tcPr>
            <w:tcW w:type="dxa" w:w="300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Aritra Roy</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SE23UECM008</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Team Lead / ML Pipeline</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Dheeraj Reddy</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SE23UECM021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Engineering / RAG</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Sai Praneeth</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SE23UECM006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Evaluation / Knowledge Update</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Ruthwik Reddy</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SE23UCSE085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Frontend / Integration</w:t>
            </w:r>
          </w:p>
        </w:tc>
      </w:tr>
    </w:tbl>
    <w:p>
      <w:r>
        <w:t xml:space="preserve"/>
      </w:r>
    </w:p>
    <w:p>
      <w:r>
        <w:br w:type="page"/>
      </w:r>
    </w:p>
    <w:p>
      <w:pPr>
        <w:pStyle w:val="Heading1"/>
      </w:pPr>
      <w:r>
        <w:rPr>
          <w:rFonts w:ascii="Arial" w:cs="Arial" w:eastAsia="Arial" w:hAnsi="Arial"/>
          <w:b/>
          <w:bCs/>
          <w:color w:val="1B3A6B"/>
          <w:sz w:val="32"/>
          <w:szCs w:val="32"/>
        </w:rPr>
        <w:t xml:space="preserve">1.  Problem and Motivation</w:t>
      </w:r>
    </w:p>
    <w:p>
      <w:pPr>
        <w:pBdr>
          <w:bottom w:val="single" w:color="2E6DA4" w:sz="6" w:space="1"/>
        </w:pBdr>
      </w:pPr>
      <w:r>
        <w:t xml:space="preserve"/>
      </w:r>
    </w:p>
    <w:p>
      <w:pPr>
        <w:spacing w:after="120" w:before="120"/>
      </w:pPr>
      <w:r>
        <w:rPr>
          <w:rFonts w:ascii="Arial" w:cs="Arial" w:eastAsia="Arial" w:hAnsi="Arial"/>
          <w:b w:val="false"/>
          <w:bCs w:val="false"/>
          <w:i w:val="false"/>
          <w:iCs w:val="false"/>
          <w:color w:val="222222"/>
          <w:sz w:val="22"/>
          <w:szCs w:val="22"/>
        </w:rPr>
        <w:t xml:space="preserve">Clinical decision-making requires accurate and continuously updated medical knowledge. Modern Large Language Models (LLMs), despite their remarkable capabilities, suffer from two critical limitations: static training data that becomes outdated as new research is published, and hallucination — generating plausible but factually incorrect information. In healthcare settings, such errors directly threaten patient safety and treatment outcomes.</w:t>
      </w:r>
    </w:p>
    <w:p>
      <w:pPr>
        <w:spacing w:after="120" w:before="120"/>
      </w:pPr>
      <w:r>
        <w:rPr>
          <w:rFonts w:ascii="Arial" w:cs="Arial" w:eastAsia="Arial" w:hAnsi="Arial"/>
          <w:b w:val="false"/>
          <w:bCs w:val="false"/>
          <w:i w:val="false"/>
          <w:iCs w:val="false"/>
          <w:color w:val="222222"/>
          <w:sz w:val="22"/>
          <w:szCs w:val="22"/>
        </w:rPr>
        <w:t xml:space="preserve">Medical knowledge evolves rapidly. New drug approvals, revised treatment guidelines, and emerging infectious disease protocols cannot be reflected in a model whose weights are frozen at training time. For example, aspirin recommendations for primary prevention changed significantly in 2025 — a static LLM trained before this update would continue providing outdated advice to clinicians.</w:t>
      </w:r>
    </w:p>
    <w:p>
      <w:pPr>
        <w:pStyle w:val="Heading2"/>
      </w:pPr>
      <w:r>
        <w:rPr>
          <w:rFonts w:ascii="Arial" w:cs="Arial" w:eastAsia="Arial" w:hAnsi="Arial"/>
          <w:b/>
          <w:bCs/>
          <w:color w:val="2E6DA4"/>
          <w:sz w:val="26"/>
          <w:szCs w:val="26"/>
        </w:rPr>
        <w:t xml:space="preserve">1.1  Who Is Affected</w:t>
      </w:r>
    </w:p>
    <w:p>
      <w:pPr>
        <w:pStyle w:val="ListParagraph"/>
        <w:numPr>
          <w:ilvl w:val="0"/>
          <w:numId w:val="2"/>
        </w:numPr>
        <w:spacing w:after="60" w:before="60"/>
      </w:pPr>
      <w:r>
        <w:rPr>
          <w:rFonts w:ascii="Arial" w:cs="Arial" w:eastAsia="Arial" w:hAnsi="Arial"/>
          <w:color w:val="222222"/>
          <w:sz w:val="22"/>
          <w:szCs w:val="22"/>
        </w:rPr>
        <w:t xml:space="preserve">Healthcare providers who rely on clinical decision support for trusted, up-to-date guidance</w:t>
      </w:r>
    </w:p>
    <w:p>
      <w:pPr>
        <w:pStyle w:val="ListParagraph"/>
        <w:numPr>
          <w:ilvl w:val="0"/>
          <w:numId w:val="2"/>
        </w:numPr>
        <w:spacing w:after="60" w:before="60"/>
      </w:pPr>
      <w:r>
        <w:rPr>
          <w:rFonts w:ascii="Arial" w:cs="Arial" w:eastAsia="Arial" w:hAnsi="Arial"/>
          <w:color w:val="222222"/>
          <w:sz w:val="22"/>
          <w:szCs w:val="22"/>
        </w:rPr>
        <w:t xml:space="preserve">Patients, especially in resource-limited settings where expert consultation is unavailable</w:t>
      </w:r>
    </w:p>
    <w:p>
      <w:pPr>
        <w:pStyle w:val="ListParagraph"/>
        <w:numPr>
          <w:ilvl w:val="0"/>
          <w:numId w:val="2"/>
        </w:numPr>
        <w:spacing w:after="60" w:before="60"/>
      </w:pPr>
      <w:r>
        <w:rPr>
          <w:rFonts w:ascii="Arial" w:cs="Arial" w:eastAsia="Arial" w:hAnsi="Arial"/>
          <w:color w:val="222222"/>
          <w:sz w:val="22"/>
          <w:szCs w:val="22"/>
        </w:rPr>
        <w:t xml:space="preserve">Healthcare organisations that face liability and loss of trust when AI systems produce outdated or incorrect clinical advice</w:t>
      </w:r>
    </w:p>
    <w:p>
      <w:pPr>
        <w:pStyle w:val="Heading2"/>
      </w:pPr>
      <w:r>
        <w:rPr>
          <w:rFonts w:ascii="Arial" w:cs="Arial" w:eastAsia="Arial" w:hAnsi="Arial"/>
          <w:b/>
          <w:bCs/>
          <w:color w:val="2E6DA4"/>
          <w:sz w:val="26"/>
          <w:szCs w:val="26"/>
        </w:rPr>
        <w:t xml:space="preserve">1.2  Why Existing Solutions Fall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Limitation</w:t>
            </w:r>
          </w:p>
        </w:tc>
        <w:tc>
          <w:tcPr>
            <w:tcW w:type="dxa" w:w="6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E6DA4"/>
                <w:sz w:val="20"/>
                <w:szCs w:val="20"/>
              </w:rPr>
              <w:t xml:space="preserve">Knowledge Staleness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Static LLMs cannot incorporate new guidelines or drug approvals published after training cutoff.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E6DA4"/>
                <w:sz w:val="20"/>
                <w:szCs w:val="20"/>
              </w:rPr>
              <w:t xml:space="preserve">Hallucination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Without retrieval grounding, generated outputs are often factually incorrect and overconfident.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E6DA4"/>
                <w:sz w:val="20"/>
                <w:szCs w:val="20"/>
              </w:rPr>
              <w:t xml:space="preserve">Static RAG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Standard RAG improves factual grounding but relies on a fixed knowledge base that is never updated.</w:t>
            </w:r>
          </w:p>
        </w:tc>
      </w:tr>
    </w:tbl>
    <w:p>
      <w:r>
        <w:t xml:space="preserve"/>
      </w:r>
    </w:p>
    <w:p>
      <w:r>
        <w:br w:type="page"/>
      </w:r>
    </w:p>
    <w:p>
      <w:pPr>
        <w:pStyle w:val="Heading1"/>
      </w:pPr>
      <w:r>
        <w:rPr>
          <w:rFonts w:ascii="Arial" w:cs="Arial" w:eastAsia="Arial" w:hAnsi="Arial"/>
          <w:b/>
          <w:bCs/>
          <w:color w:val="1B3A6B"/>
          <w:sz w:val="32"/>
          <w:szCs w:val="32"/>
        </w:rPr>
        <w:t xml:space="preserve">2.  Method</w:t>
      </w:r>
    </w:p>
    <w:p>
      <w:pPr>
        <w:pBdr>
          <w:bottom w:val="single" w:color="2E6DA4" w:sz="6" w:space="1"/>
        </w:pBdr>
      </w:pPr>
      <w:r>
        <w:t xml:space="preserve"/>
      </w:r>
    </w:p>
    <w:p>
      <w:pPr>
        <w:spacing w:after="120" w:before="120"/>
      </w:pPr>
      <w:r>
        <w:rPr>
          <w:rFonts w:ascii="Arial" w:cs="Arial" w:eastAsia="Arial" w:hAnsi="Arial"/>
          <w:b w:val="false"/>
          <w:bCs w:val="false"/>
          <w:i w:val="false"/>
          <w:iCs w:val="false"/>
          <w:color w:val="222222"/>
          <w:sz w:val="22"/>
          <w:szCs w:val="22"/>
        </w:rPr>
        <w:t xml:space="preserve">We propose a Retrieval-Augmented Generation (RAG) system for reliable clinical NLP with a continuous knowledge-updating mechanism. The system has three core components:</w:t>
      </w:r>
    </w:p>
    <w:p>
      <w:pPr>
        <w:pStyle w:val="Heading2"/>
      </w:pPr>
      <w:r>
        <w:rPr>
          <w:rFonts w:ascii="Arial" w:cs="Arial" w:eastAsia="Arial" w:hAnsi="Arial"/>
          <w:b/>
          <w:bCs/>
          <w:color w:val="2E6DA4"/>
          <w:sz w:val="26"/>
          <w:szCs w:val="26"/>
        </w:rPr>
        <w:t xml:space="preserve">2.1  System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220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4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E6DA4"/>
                <w:sz w:val="20"/>
                <w:szCs w:val="20"/>
              </w:rPr>
              <w:t xml:space="preserve">Dense Retrieval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Clinical text encoded into 768-dim dense vectors and indexed for fast cosine similarity 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PubMedBERT + FAISS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E6DA4"/>
                <w:sz w:val="20"/>
                <w:szCs w:val="20"/>
              </w:rPr>
              <w:t xml:space="preserve">LLM Generation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Top-3 retrieved passages concatenated as context and fed to an instruction-tuned LLM to generate a grounded answer.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Flan-T5-Base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E8449"/>
                <w:sz w:val="20"/>
                <w:szCs w:val="20"/>
              </w:rPr>
              <w:t xml:space="preserve">Continuous Update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 clinical documents embedded and added to the live FAISS index incrementally — no full rebuild required. Every update logged with timestamp and 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20"/>
                <w:szCs w:val="20"/>
              </w:rPr>
              <w:t xml:space="preserve">FAISS index.add() + Update Log</w:t>
            </w:r>
          </w:p>
        </w:tc>
      </w:tr>
    </w:tbl>
    <w:p>
      <w:r>
        <w:t xml:space="preserve"/>
      </w:r>
    </w:p>
    <w:p>
      <w:pPr>
        <w:pStyle w:val="Heading2"/>
      </w:pPr>
      <w:r>
        <w:rPr>
          <w:rFonts w:ascii="Arial" w:cs="Arial" w:eastAsia="Arial" w:hAnsi="Arial"/>
          <w:b/>
          <w:bCs/>
          <w:color w:val="2E6DA4"/>
          <w:sz w:val="26"/>
          <w:szCs w:val="26"/>
        </w:rPr>
        <w:t xml:space="preserve">2.2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Stage</w:t>
            </w:r>
          </w:p>
        </w:tc>
        <w:tc>
          <w:tcPr>
            <w:tcW w:type="dxa" w:w="6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Loading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PubMedQA loaded from HuggingFace. 1000 samples across train/val/test (800/100/100).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Text Chunking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Context passages split into 200-word overlapping chunks (40-word overlap) to preserve sentence boundaries.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Embedding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Each chunk encoded using pritamdeka/S-PubMedBert-MS-MARCO into 768-dimensional vectors. Biomedical vocabulary improves clinical retrieval.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FAISS Indexing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Embeddings stored in FAISS IndexFlatIP. Inner product search over normalised vectors equals cosine similarity. Index size: 1810 vectors.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Retrieval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Query embedded and top-3 most similar passages retrieved from the index (mean top-1 similarity score: 0.94).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Generation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Retrieved passages concatenated into a structured prompt. Flan-T5-Base generates a yes/no/maybe answer using beam search (num_beams=4, max_new_tokens=5).</w:t>
            </w:r>
          </w:p>
        </w:tc>
      </w:tr>
      <w:tr>
        <w:tc>
          <w:tcPr>
            <w:tcW w:type="dxa" w:w="5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1E8449"/>
                <w:sz w:val="20"/>
                <w:szCs w:val="20"/>
              </w:rPr>
              <w:t xml:space="preserve">Knowledge Update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 documents embedded and added via FAISS index.add() — O(n) operation, no rebuild. Every update logged to update_log.jsonl with timestamp, source, and chunk count.</w:t>
            </w:r>
          </w:p>
        </w:tc>
      </w:tr>
    </w:tbl>
    <w:p>
      <w:r>
        <w:t xml:space="preserve"/>
      </w:r>
    </w:p>
    <w:p>
      <w:pPr>
        <w:pStyle w:val="Heading2"/>
      </w:pPr>
      <w:r>
        <w:rPr>
          <w:rFonts w:ascii="Arial" w:cs="Arial" w:eastAsia="Arial" w:hAnsi="Arial"/>
          <w:b/>
          <w:bCs/>
          <w:color w:val="2E6DA4"/>
          <w:sz w:val="26"/>
          <w:szCs w:val="26"/>
        </w:rPr>
        <w:t xml:space="preserve">2.3  Continuous Knowledge Updating — Core Contribution</w:t>
      </w:r>
    </w:p>
    <w:p>
      <w:pPr>
        <w:spacing w:after="120" w:before="120"/>
      </w:pPr>
      <w:r>
        <w:rPr>
          <w:rFonts w:ascii="Arial" w:cs="Arial" w:eastAsia="Arial" w:hAnsi="Arial"/>
          <w:b w:val="false"/>
          <w:bCs w:val="false"/>
          <w:i w:val="false"/>
          <w:iCs w:val="false"/>
          <w:color w:val="222222"/>
          <w:sz w:val="22"/>
          <w:szCs w:val="22"/>
        </w:rPr>
        <w:t xml:space="preserve">The key novelty of this system is the continuous knowledge update mechanism. Unlike standard RAG systems that require a full index rebuild when new information arrives, our system supports incremental updates:</w:t>
      </w:r>
    </w:p>
    <w:p>
      <w:pPr>
        <w:pStyle w:val="ListParagraph"/>
        <w:numPr>
          <w:ilvl w:val="0"/>
          <w:numId w:val="2"/>
        </w:numPr>
        <w:spacing w:after="60" w:before="60"/>
      </w:pPr>
      <w:r>
        <w:rPr>
          <w:rFonts w:ascii="Arial" w:cs="Arial" w:eastAsia="Arial" w:hAnsi="Arial"/>
          <w:color w:val="222222"/>
          <w:sz w:val="22"/>
          <w:szCs w:val="22"/>
        </w:rPr>
        <w:t xml:space="preserve">New clinical documents (WHO guidelines, drug approvals, research papers) are chunked and embedded using the same biomedical encoder</w:t>
      </w:r>
    </w:p>
    <w:p>
      <w:pPr>
        <w:pStyle w:val="ListParagraph"/>
        <w:numPr>
          <w:ilvl w:val="0"/>
          <w:numId w:val="2"/>
        </w:numPr>
        <w:spacing w:after="60" w:before="60"/>
      </w:pPr>
      <w:r>
        <w:rPr>
          <w:rFonts w:ascii="Arial" w:cs="Arial" w:eastAsia="Arial" w:hAnsi="Arial"/>
          <w:color w:val="222222"/>
          <w:sz w:val="22"/>
          <w:szCs w:val="22"/>
        </w:rPr>
        <w:t xml:space="preserve">Embeddings are added directly to the live FAISS index using index.add() — the operation is near-instantaneous (&lt;1 second per document)</w:t>
      </w:r>
    </w:p>
    <w:p>
      <w:pPr>
        <w:pStyle w:val="ListParagraph"/>
        <w:numPr>
          <w:ilvl w:val="0"/>
          <w:numId w:val="2"/>
        </w:numPr>
        <w:spacing w:after="60" w:before="60"/>
      </w:pPr>
      <w:r>
        <w:rPr>
          <w:rFonts w:ascii="Arial" w:cs="Arial" w:eastAsia="Arial" w:hAnsi="Arial"/>
          <w:color w:val="222222"/>
          <w:sz w:val="22"/>
          <w:szCs w:val="22"/>
        </w:rPr>
        <w:t xml:space="preserve">Passage metadata is appended to the passage store with a timestamp, source identifier, and update tag</w:t>
      </w:r>
    </w:p>
    <w:p>
      <w:pPr>
        <w:pStyle w:val="ListParagraph"/>
        <w:numPr>
          <w:ilvl w:val="0"/>
          <w:numId w:val="2"/>
        </w:numPr>
        <w:spacing w:after="60" w:before="60"/>
      </w:pPr>
      <w:r>
        <w:rPr>
          <w:rFonts w:ascii="Arial" w:cs="Arial" w:eastAsia="Arial" w:hAnsi="Arial"/>
          <w:color w:val="222222"/>
          <w:sz w:val="22"/>
          <w:szCs w:val="22"/>
        </w:rPr>
        <w:t xml:space="preserve">Every update is logged to results/update_log.jsonl for full reproducibility and audit trail</w:t>
      </w:r>
    </w:p>
    <w:p>
      <w:pPr>
        <w:pStyle w:val="ListParagraph"/>
        <w:numPr>
          <w:ilvl w:val="0"/>
          <w:numId w:val="2"/>
        </w:numPr>
        <w:spacing w:after="60" w:before="60"/>
      </w:pPr>
      <w:r>
        <w:rPr>
          <w:rFonts w:ascii="Arial" w:cs="Arial" w:eastAsia="Arial" w:hAnsi="Arial"/>
          <w:color w:val="222222"/>
          <w:sz w:val="22"/>
          <w:szCs w:val="22"/>
        </w:rPr>
        <w:t xml:space="preserve">The updated index is persisted to disk so knowledge additions survive across sessions</w:t>
      </w:r>
    </w:p>
    <w:p>
      <w:r>
        <w:t xml:space="preserve"/>
      </w:r>
    </w:p>
    <w:p>
      <w:r>
        <w:br w:type="page"/>
      </w:r>
    </w:p>
    <w:p>
      <w:pPr>
        <w:pStyle w:val="Heading1"/>
      </w:pPr>
      <w:r>
        <w:rPr>
          <w:rFonts w:ascii="Arial" w:cs="Arial" w:eastAsia="Arial" w:hAnsi="Arial"/>
          <w:b/>
          <w:bCs/>
          <w:color w:val="1B3A6B"/>
          <w:sz w:val="32"/>
          <w:szCs w:val="32"/>
        </w:rPr>
        <w:t xml:space="preserve">3.  Experiments and Results</w:t>
      </w:r>
    </w:p>
    <w:p>
      <w:pPr>
        <w:pBdr>
          <w:bottom w:val="single" w:color="2E6DA4" w:sz="6" w:space="1"/>
        </w:pBdr>
      </w:pPr>
      <w:r>
        <w:t xml:space="preserve"/>
      </w:r>
    </w:p>
    <w:p>
      <w:pPr>
        <w:pStyle w:val="Heading2"/>
      </w:pPr>
      <w:r>
        <w:rPr>
          <w:rFonts w:ascii="Arial" w:cs="Arial" w:eastAsia="Arial" w:hAnsi="Arial"/>
          <w:b/>
          <w:bCs/>
          <w:color w:val="2E6DA4"/>
          <w:sz w:val="26"/>
          <w:szCs w:val="26"/>
        </w:rPr>
        <w:t xml:space="preserve">3.1  Experimental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3013"/>
        <w:gridCol w:w="3000"/>
      </w:tblGrid>
      <w:tr>
        <w:tc>
          <w:tcPr>
            <w:tcW w:type="dxa" w:w="30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30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Choice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Reason</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Dataset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PubMedQA (pqa_labeled)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Biomedical Q&amp;A with yes/no/maybe labels</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Embedding Model</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S-PubMedBert-MS-MARCO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Biomedical domain, 768-dim</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LLM</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google/flan-t5-base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Instruction-tuned, ~250M params, local inference</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Index Type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FAISS IndexFlatIP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Supports incremental addition</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Top-K</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Balance between context and prompt length</w:t>
            </w:r>
          </w:p>
        </w:tc>
      </w:tr>
      <w:tr>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Eval Samples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100 (test split)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Held-out from index construction</w:t>
            </w:r>
          </w:p>
        </w:tc>
      </w:tr>
    </w:tbl>
    <w:p>
      <w:r>
        <w:t xml:space="preserve"/>
      </w:r>
    </w:p>
    <w:p>
      <w:pPr>
        <w:pStyle w:val="Heading2"/>
      </w:pPr>
      <w:r>
        <w:rPr>
          <w:rFonts w:ascii="Arial" w:cs="Arial" w:eastAsia="Arial" w:hAnsi="Arial"/>
          <w:b/>
          <w:bCs/>
          <w:color w:val="2E6DA4"/>
          <w:sz w:val="26"/>
          <w:szCs w:val="26"/>
        </w:rPr>
        <w:t xml:space="preserve">3.2  Main Evaluation Results</w:t>
      </w:r>
    </w:p>
    <w:p>
      <w:pPr>
        <w:spacing w:after="120" w:before="120"/>
      </w:pPr>
      <w:r>
        <w:rPr>
          <w:rFonts w:ascii="Arial" w:cs="Arial" w:eastAsia="Arial" w:hAnsi="Arial"/>
          <w:b w:val="false"/>
          <w:bCs w:val="false"/>
          <w:i w:val="false"/>
          <w:iCs w:val="false"/>
          <w:color w:val="222222"/>
          <w:sz w:val="22"/>
          <w:szCs w:val="22"/>
        </w:rPr>
        <w:t xml:space="preserve">Table 2 shows the full quantitative evaluation on 100 held-out PubMedQA test 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c>
          <w:tcPr>
            <w:tcW w:type="dxa" w:w="3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Value</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Exact Match Accuracy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37.0%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Above random baseline of 33.3%</w:t>
            </w:r>
          </w:p>
        </w:tc>
      </w:tr>
      <w:tr>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F1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0.4356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Strongest class performance</w:t>
            </w:r>
          </w:p>
        </w:tc>
      </w:tr>
      <w:tr>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F1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0.3659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Moderate performance</w:t>
            </w:r>
          </w:p>
        </w:tc>
      </w:tr>
      <w:tr>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Maybe F1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0.0000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Model never predicts maybe — known Flan-T5 limitation</w:t>
            </w:r>
          </w:p>
        </w:tc>
      </w:tr>
      <w:tr>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Macro F1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0.2672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Dragged down by zero maybe F1</w:t>
            </w:r>
          </w:p>
        </w:tc>
      </w:tr>
      <w:tr>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Mean Top-1 Retrieval Score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20"/>
                <w:szCs w:val="20"/>
              </w:rPr>
              <w:t xml:space="preserve">0.9421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Excellent — PubMedBERT working well</w:t>
            </w:r>
          </w:p>
        </w:tc>
      </w:tr>
      <w:tr>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Mean Top-3 Retrieval Score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0.9209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Consistently high across all queries</w:t>
            </w:r>
          </w:p>
        </w:tc>
      </w:tr>
    </w:tbl>
    <w:p>
      <w:r>
        <w:t xml:space="preserve"/>
      </w:r>
    </w:p>
    <w:p>
      <w:pPr>
        <w:pStyle w:val="Heading2"/>
      </w:pPr>
      <w:r>
        <w:rPr>
          <w:rFonts w:ascii="Arial" w:cs="Arial" w:eastAsia="Arial" w:hAnsi="Arial"/>
          <w:b/>
          <w:bCs/>
          <w:color w:val="2E6DA4"/>
          <w:sz w:val="26"/>
          <w:szCs w:val="26"/>
        </w:rPr>
        <w:t xml:space="preserve">3.3  Ablation Study</w:t>
      </w:r>
    </w:p>
    <w:p>
      <w:pPr>
        <w:spacing w:after="120" w:before="120"/>
      </w:pPr>
      <w:r>
        <w:rPr>
          <w:rFonts w:ascii="Arial" w:cs="Arial" w:eastAsia="Arial" w:hAnsi="Arial"/>
          <w:b w:val="false"/>
          <w:bCs w:val="false"/>
          <w:i w:val="false"/>
          <w:iCs w:val="false"/>
          <w:color w:val="222222"/>
          <w:sz w:val="22"/>
          <w:szCs w:val="22"/>
        </w:rPr>
        <w:t xml:space="preserve">We compare three system configurations to isolate the contribution of each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c>
          <w:tcPr>
            <w:tcW w:type="dxa" w:w="3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 RAG</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RAG Static</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RAG+Update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Best</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Accuracy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37.0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37.0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 RAG / RAG</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Macro F1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0.2459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20"/>
                <w:szCs w:val="20"/>
              </w:rPr>
              <w:t xml:space="preserve">0.2672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0.2590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RAG Static</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Yes F1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0.2462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20"/>
                <w:szCs w:val="20"/>
              </w:rPr>
              <w:t xml:space="preserve">0.4356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0.4314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RAG Static</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F1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20"/>
                <w:szCs w:val="20"/>
              </w:rPr>
              <w:t xml:space="preserve">0.4915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0.3659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0.3457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 RAG</w:t>
            </w:r>
          </w:p>
        </w:tc>
      </w:tr>
      <w:tr>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Maybe F1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t>
            </w:r>
          </w:p>
        </w:tc>
      </w:tr>
    </w:tbl>
    <w:p>
      <w:r>
        <w:t xml:space="preserve"/>
      </w:r>
    </w:p>
    <w:p>
      <w:pPr>
        <w:spacing w:after="120" w:before="120"/>
      </w:pPr>
      <w:r>
        <w:rPr>
          <w:rFonts w:ascii="Arial" w:cs="Arial" w:eastAsia="Arial" w:hAnsi="Arial"/>
          <w:b w:val="false"/>
          <w:bCs w:val="false"/>
          <w:i w:val="false"/>
          <w:iCs w:val="false"/>
          <w:color w:val="333333"/>
          <w:sz w:val="22"/>
          <w:szCs w:val="22"/>
        </w:rPr>
        <w:t xml:space="preserve">Key finding: RAG retrieval improves Yes F1 by 77% over No RAG (0.2462 → 0.4356), demonstrating that retrieved context genuinely helps the model identify positive clinical evidence. Overall accuracy remains flat across conditions — this is attributed to Flan-T5-Base being insufficiently sensitive to retrieved context, a known limitation of small instruction-tuned models discussed in Section 4.</w:t>
      </w:r>
    </w:p>
    <w:p>
      <w:r>
        <w:t xml:space="preserve"/>
      </w:r>
    </w:p>
    <w:p>
      <w:pPr>
        <w:pStyle w:val="Heading2"/>
      </w:pPr>
      <w:r>
        <w:rPr>
          <w:rFonts w:ascii="Arial" w:cs="Arial" w:eastAsia="Arial" w:hAnsi="Arial"/>
          <w:b/>
          <w:bCs/>
          <w:color w:val="2E6DA4"/>
          <w:sz w:val="26"/>
          <w:szCs w:val="26"/>
        </w:rPr>
        <w:t xml:space="preserve">3.4  Continuous Knowledge Update Experiment</w:t>
      </w:r>
    </w:p>
    <w:p>
      <w:pPr>
        <w:spacing w:after="120" w:before="120"/>
      </w:pPr>
      <w:r>
        <w:rPr>
          <w:rFonts w:ascii="Arial" w:cs="Arial" w:eastAsia="Arial" w:hAnsi="Arial"/>
          <w:b w:val="false"/>
          <w:bCs w:val="false"/>
          <w:i w:val="false"/>
          <w:iCs w:val="false"/>
          <w:color w:val="222222"/>
          <w:sz w:val="22"/>
          <w:szCs w:val="22"/>
        </w:rPr>
        <w:t xml:space="preserve">We demonstrate the continuous update mechanism using a focused experiment with a pre-built clinical knowledge base of 8 documents, queried before and after adding 3 new 2025 medical guidelines.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6"/>
        <w:gridCol w:w="1557"/>
        <w:gridCol w:w="1557"/>
        <w:gridCol w:w="155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Query Topic</w:t>
            </w:r>
          </w:p>
        </w:tc>
        <w:tc>
          <w:tcPr>
            <w:tcW w:type="dxa" w:w="155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Before Source</w:t>
            </w:r>
          </w:p>
        </w:tc>
        <w:tc>
          <w:tcPr>
            <w:tcW w:type="dxa" w:w="155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After Source</w:t>
            </w:r>
          </w:p>
        </w:tc>
        <w:tc>
          <w:tcPr>
            <w:tcW w:type="dxa" w:w="155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Src Changed?</w:t>
            </w:r>
          </w:p>
        </w:tc>
        <w:tc>
          <w:tcPr>
            <w:tcW w:type="dxa" w:w="155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Ans Changed?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Aspirin primary prevention</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clinical_kb_aspirin_old</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clinical_kb_aspirin_old</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Metformin in kidney disease</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clinical_kb_metformin_old</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1E8449"/>
                <w:sz w:val="18"/>
                <w:szCs w:val="18"/>
              </w:rPr>
              <w:t xml:space="preserve">FDA_metformin_2025</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20"/>
                <w:szCs w:val="20"/>
              </w:rPr>
              <w:t xml:space="preserve">YES</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Blood pressure target</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clinical_kb_bp_old</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1E8449"/>
                <w:sz w:val="18"/>
                <w:szCs w:val="18"/>
              </w:rPr>
              <w:t xml:space="preserve">NEJM_bp_target_2025</w:t>
            </w:r>
          </w:p>
        </w:tc>
        <w:tc>
          <w:tcPr>
            <w:tcW w:type="dxa" w:w="155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20"/>
                <w:szCs w:val="20"/>
              </w:rPr>
              <w:t xml:space="preserve">YES</w:t>
            </w:r>
          </w:p>
        </w:tc>
        <w:tc>
          <w:tcPr>
            <w:tcW w:type="dxa" w:w="15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No</w:t>
            </w:r>
          </w:p>
        </w:tc>
      </w:tr>
    </w:tbl>
    <w:p>
      <w:r>
        <w:t xml:space="preserve"/>
      </w:r>
    </w:p>
    <w:p>
      <w:pPr>
        <w:spacing w:after="120" w:before="120"/>
      </w:pPr>
      <w:r>
        <w:rPr>
          <w:rFonts w:ascii="Arial" w:cs="Arial" w:eastAsia="Arial" w:hAnsi="Arial"/>
          <w:b w:val="false"/>
          <w:bCs w:val="false"/>
          <w:i w:val="false"/>
          <w:iCs w:val="false"/>
          <w:color w:val="222222"/>
          <w:sz w:val="22"/>
          <w:szCs w:val="22"/>
        </w:rPr>
        <w:t xml:space="preserve">Index size grew from 8 to 11 vectors. Update latency was under 1 second per document with no index rebuild required. Retrieval correctly prioritised newly added guidelines for 2 out of 3 queries, demonstrating that the update mechanism functions as designed.</w:t>
      </w:r>
    </w:p>
    <w:p>
      <w:r>
        <w:t xml:space="preserve"/>
      </w:r>
    </w:p>
    <w:p>
      <w:r>
        <w:br w:type="page"/>
      </w:r>
    </w:p>
    <w:p>
      <w:pPr>
        <w:pStyle w:val="Heading1"/>
      </w:pPr>
      <w:r>
        <w:rPr>
          <w:rFonts w:ascii="Arial" w:cs="Arial" w:eastAsia="Arial" w:hAnsi="Arial"/>
          <w:b/>
          <w:bCs/>
          <w:color w:val="1B3A6B"/>
          <w:sz w:val="32"/>
          <w:szCs w:val="32"/>
        </w:rPr>
        <w:t xml:space="preserve">4.  Analysis</w:t>
      </w:r>
    </w:p>
    <w:p>
      <w:pPr>
        <w:pBdr>
          <w:bottom w:val="single" w:color="2E6DA4" w:sz="6" w:space="1"/>
        </w:pBdr>
      </w:pPr>
      <w:r>
        <w:t xml:space="preserve"/>
      </w:r>
    </w:p>
    <w:p>
      <w:pPr>
        <w:pStyle w:val="Heading2"/>
      </w:pPr>
      <w:r>
        <w:rPr>
          <w:rFonts w:ascii="Arial" w:cs="Arial" w:eastAsia="Arial" w:hAnsi="Arial"/>
          <w:b/>
          <w:bCs/>
          <w:color w:val="2E6DA4"/>
          <w:sz w:val="26"/>
          <w:szCs w:val="26"/>
        </w:rPr>
        <w:t xml:space="preserve">4.1  What Worked</w:t>
      </w:r>
    </w:p>
    <w:p>
      <w:pPr>
        <w:pStyle w:val="ListParagraph"/>
        <w:numPr>
          <w:ilvl w:val="0"/>
          <w:numId w:val="2"/>
        </w:numPr>
        <w:spacing w:after="60" w:before="60"/>
      </w:pPr>
      <w:r>
        <w:rPr>
          <w:rFonts w:ascii="Arial" w:cs="Arial" w:eastAsia="Arial" w:hAnsi="Arial"/>
          <w:color w:val="222222"/>
          <w:sz w:val="22"/>
          <w:szCs w:val="22"/>
        </w:rPr>
        <w:t xml:space="preserve">The full data pipeline ran end-to-end without errors — PubMedQA loaded, cleaned, chunked, embedded, and indexed reliably</w:t>
      </w:r>
    </w:p>
    <w:p>
      <w:pPr>
        <w:pStyle w:val="ListParagraph"/>
        <w:numPr>
          <w:ilvl w:val="0"/>
          <w:numId w:val="2"/>
        </w:numPr>
        <w:spacing w:after="60" w:before="60"/>
      </w:pPr>
      <w:r>
        <w:rPr>
          <w:rFonts w:ascii="Arial" w:cs="Arial" w:eastAsia="Arial" w:hAnsi="Arial"/>
          <w:color w:val="222222"/>
          <w:sz w:val="22"/>
          <w:szCs w:val="22"/>
        </w:rPr>
        <w:t xml:space="preserve">PubMedBERT retrieval is strong, achieving mean top-1 similarity scores of 0.94, significantly higher than the general MiniLM baseline</w:t>
      </w:r>
    </w:p>
    <w:p>
      <w:pPr>
        <w:pStyle w:val="ListParagraph"/>
        <w:numPr>
          <w:ilvl w:val="0"/>
          <w:numId w:val="2"/>
        </w:numPr>
        <w:spacing w:after="60" w:before="60"/>
      </w:pPr>
      <w:r>
        <w:rPr>
          <w:rFonts w:ascii="Arial" w:cs="Arial" w:eastAsia="Arial" w:hAnsi="Arial"/>
          <w:color w:val="222222"/>
          <w:sz w:val="22"/>
          <w:szCs w:val="22"/>
        </w:rPr>
        <w:t xml:space="preserve">RAG improves Yes F1 by 77% over No RAG — retrieved context genuinely helps identify positive clinical evidence</w:t>
      </w:r>
    </w:p>
    <w:p>
      <w:pPr>
        <w:pStyle w:val="ListParagraph"/>
        <w:numPr>
          <w:ilvl w:val="0"/>
          <w:numId w:val="2"/>
        </w:numPr>
        <w:spacing w:after="60" w:before="60"/>
      </w:pPr>
      <w:r>
        <w:rPr>
          <w:rFonts w:ascii="Arial" w:cs="Arial" w:eastAsia="Arial" w:hAnsi="Arial"/>
          <w:color w:val="222222"/>
          <w:sz w:val="22"/>
          <w:szCs w:val="22"/>
        </w:rPr>
        <w:t xml:space="preserve">The continuous knowledge update mechanism correctly incorporated new guidelines: retrieval source changed to newly added documents for 2/3 test queries immediately after update, with under 1 second update latency and no index rebuild</w:t>
      </w:r>
    </w:p>
    <w:p>
      <w:pPr>
        <w:pStyle w:val="ListParagraph"/>
        <w:numPr>
          <w:ilvl w:val="0"/>
          <w:numId w:val="2"/>
        </w:numPr>
        <w:spacing w:after="60" w:before="60"/>
      </w:pPr>
      <w:r>
        <w:rPr>
          <w:rFonts w:ascii="Arial" w:cs="Arial" w:eastAsia="Arial" w:hAnsi="Arial"/>
          <w:color w:val="222222"/>
          <w:sz w:val="22"/>
          <w:szCs w:val="22"/>
        </w:rPr>
        <w:t xml:space="preserve">Prompt engineering improvement alone drove a 4x accuracy increase from Milestone 1 (10%) to the final evaluation (37%-40%), demonstrating the importance of instruction format for small LLMs</w:t>
      </w:r>
    </w:p>
    <w:p>
      <w:pPr>
        <w:pStyle w:val="ListParagraph"/>
        <w:numPr>
          <w:ilvl w:val="0"/>
          <w:numId w:val="2"/>
        </w:numPr>
        <w:spacing w:after="60" w:before="60"/>
      </w:pPr>
      <w:r>
        <w:rPr>
          <w:rFonts w:ascii="Arial" w:cs="Arial" w:eastAsia="Arial" w:hAnsi="Arial"/>
          <w:color w:val="222222"/>
          <w:sz w:val="22"/>
          <w:szCs w:val="22"/>
        </w:rPr>
        <w:t xml:space="preserve">Update logging provides a complete audit trail of knowledge changes, which is essential for clinical deployment</w:t>
      </w:r>
    </w:p>
    <w:p>
      <w:pPr>
        <w:pStyle w:val="Heading2"/>
      </w:pPr>
      <w:r>
        <w:rPr>
          <w:rFonts w:ascii="Arial" w:cs="Arial" w:eastAsia="Arial" w:hAnsi="Arial"/>
          <w:b/>
          <w:bCs/>
          <w:color w:val="2E6DA4"/>
          <w:sz w:val="26"/>
          <w:szCs w:val="26"/>
        </w:rPr>
        <w:t xml:space="preserve">4.2  Limitations and Honest Analysis</w:t>
      </w:r>
    </w:p>
    <w:p>
      <w:pPr>
        <w:pStyle w:val="ListParagraph"/>
        <w:numPr>
          <w:ilvl w:val="0"/>
          <w:numId w:val="2"/>
        </w:numPr>
        <w:spacing w:after="60" w:before="60"/>
      </w:pPr>
      <w:r>
        <w:rPr>
          <w:rFonts w:ascii="Arial" w:cs="Arial" w:eastAsia="Arial" w:hAnsi="Arial"/>
          <w:color w:val="222222"/>
          <w:sz w:val="22"/>
          <w:szCs w:val="22"/>
        </w:rPr>
        <w:t xml:space="preserve">Flan-T5-Base never predicts 'maybe', resulting in zero F1 for that class. Small instruction-tuned models are overconfident and avoid uncertainty. A larger model (Flan-T5-Large or BioGPT) would likely produce better-calibrated outputs</w:t>
      </w:r>
    </w:p>
    <w:p>
      <w:pPr>
        <w:pStyle w:val="ListParagraph"/>
        <w:numPr>
          <w:ilvl w:val="0"/>
          <w:numId w:val="2"/>
        </w:numPr>
        <w:spacing w:after="60" w:before="60"/>
      </w:pPr>
      <w:r>
        <w:rPr>
          <w:rFonts w:ascii="Arial" w:cs="Arial" w:eastAsia="Arial" w:hAnsi="Arial"/>
          <w:color w:val="222222"/>
          <w:sz w:val="22"/>
          <w:szCs w:val="22"/>
        </w:rPr>
        <w:t xml:space="preserve">Overall accuracy (37%) remains flat across ablation conditions. This is consistent with published findings on small LLMs: models with fewer than 500M parameters tend to generate answers from pretrained weights regardless of retrieved context. The retrieval component works correctly — the bottleneck is generation sensitivity</w:t>
      </w:r>
    </w:p>
    <w:p>
      <w:pPr>
        <w:pStyle w:val="ListParagraph"/>
        <w:numPr>
          <w:ilvl w:val="0"/>
          <w:numId w:val="2"/>
        </w:numPr>
        <w:spacing w:after="60" w:before="60"/>
      </w:pPr>
      <w:r>
        <w:rPr>
          <w:rFonts w:ascii="Arial" w:cs="Arial" w:eastAsia="Arial" w:hAnsi="Arial"/>
          <w:color w:val="222222"/>
          <w:sz w:val="22"/>
          <w:szCs w:val="22"/>
        </w:rPr>
        <w:t xml:space="preserve">The knowledge update experiment used simulated documents rather than real PubMed API data. In production deployment, a PubMed RSS feed or WHO bulletin webhook would automate real-time updates</w:t>
      </w:r>
    </w:p>
    <w:p>
      <w:pPr>
        <w:pStyle w:val="ListParagraph"/>
        <w:numPr>
          <w:ilvl w:val="0"/>
          <w:numId w:val="2"/>
        </w:numPr>
        <w:spacing w:after="60" w:before="60"/>
      </w:pPr>
      <w:r>
        <w:rPr>
          <w:rFonts w:ascii="Arial" w:cs="Arial" w:eastAsia="Arial" w:hAnsi="Arial"/>
          <w:color w:val="222222"/>
          <w:sz w:val="22"/>
          <w:szCs w:val="22"/>
        </w:rPr>
        <w:t xml:space="preserve">ROUGE-L is near zero because we compare single-word answers (yes/no/maybe) against long reference answers. This metric is not appropriate for this task and would be replaced with token-level F1 in future work</w:t>
      </w:r>
    </w:p>
    <w:p>
      <w:pPr>
        <w:pStyle w:val="ListParagraph"/>
        <w:numPr>
          <w:ilvl w:val="0"/>
          <w:numId w:val="2"/>
        </w:numPr>
        <w:spacing w:after="60" w:before="60"/>
      </w:pPr>
      <w:r>
        <w:rPr>
          <w:rFonts w:ascii="Arial" w:cs="Arial" w:eastAsia="Arial" w:hAnsi="Arial"/>
          <w:color w:val="222222"/>
          <w:sz w:val="22"/>
          <w:szCs w:val="22"/>
        </w:rPr>
        <w:t xml:space="preserve">The aspirin query did not change source after the WHO 2025 update was added, likely because the old document had a higher cosine similarity to the query — this reveals a retrieval ranking limitation that re-ranking techniques could address</w:t>
      </w:r>
    </w:p>
    <w:p>
      <w:pPr>
        <w:pStyle w:val="Heading2"/>
      </w:pPr>
      <w:r>
        <w:rPr>
          <w:rFonts w:ascii="Arial" w:cs="Arial" w:eastAsia="Arial" w:hAnsi="Arial"/>
          <w:b/>
          <w:bCs/>
          <w:color w:val="2E6DA4"/>
          <w:sz w:val="26"/>
          <w:szCs w:val="26"/>
        </w:rPr>
        <w:t xml:space="preserve">4.3  Does the System Address the Stated Problem?</w:t>
      </w:r>
    </w:p>
    <w:p>
      <w:pPr>
        <w:spacing w:after="120" w:before="120"/>
      </w:pPr>
      <w:r>
        <w:rPr>
          <w:rFonts w:ascii="Arial" w:cs="Arial" w:eastAsia="Arial" w:hAnsi="Arial"/>
          <w:b w:val="false"/>
          <w:bCs w:val="false"/>
          <w:i w:val="false"/>
          <w:iCs w:val="false"/>
          <w:color w:val="222222"/>
          <w:sz w:val="22"/>
          <w:szCs w:val="22"/>
        </w:rPr>
        <w:t xml:space="preserve">Partially. The retrieval component is functioning well — PubMedBERT successfully grounds answers in relevant clinical passages, and the continuous update mechanism correctly prioritises newly added knowledge. The generation component is limited by model size, preventing full exploitation of retrieved context. The core claim of the project — that a RAG system can be updated with new clinical knowledge without rebuilding — is demonstrated and verified. A production system would require a larger generation model to fully realise the benefits.</w:t>
      </w:r>
    </w:p>
    <w:p>
      <w:r>
        <w:t xml:space="preserve"/>
      </w:r>
    </w:p>
    <w:p>
      <w:r>
        <w:br w:type="page"/>
      </w:r>
    </w:p>
    <w:p>
      <w:pPr>
        <w:pStyle w:val="Heading1"/>
      </w:pPr>
      <w:r>
        <w:rPr>
          <w:rFonts w:ascii="Arial" w:cs="Arial" w:eastAsia="Arial" w:hAnsi="Arial"/>
          <w:b/>
          <w:bCs/>
          <w:color w:val="1B3A6B"/>
          <w:sz w:val="32"/>
          <w:szCs w:val="32"/>
        </w:rPr>
        <w:t xml:space="preserve">5.  References</w:t>
      </w:r>
    </w:p>
    <w:p>
      <w:pPr>
        <w:pBdr>
          <w:bottom w:val="single" w:color="2E6DA4" w:sz="6" w:space="1"/>
        </w:pBdr>
      </w:pPr>
      <w:r>
        <w:t xml:space="preserve"/>
      </w:r>
    </w:p>
    <w:p>
      <w:pPr>
        <w:spacing w:after="120" w:before="120"/>
      </w:pPr>
      <w:r>
        <w:rPr>
          <w:rFonts w:ascii="Arial" w:cs="Arial" w:eastAsia="Arial" w:hAnsi="Arial"/>
          <w:b w:val="false"/>
          <w:bCs w:val="false"/>
          <w:i w:val="false"/>
          <w:iCs w:val="false"/>
          <w:color w:val="222222"/>
          <w:sz w:val="22"/>
          <w:szCs w:val="22"/>
        </w:rPr>
        <w:t xml:space="preserve">[1] Lewis, P., Perez, E., et al. (2020). Retrieval-Augmented Generation for Knowledge-Intensive NLP Tasks. NeurIPS 2020.</w:t>
      </w:r>
    </w:p>
    <w:p>
      <w:pPr>
        <w:spacing w:after="120" w:before="120"/>
      </w:pPr>
      <w:r>
        <w:rPr>
          <w:rFonts w:ascii="Arial" w:cs="Arial" w:eastAsia="Arial" w:hAnsi="Arial"/>
          <w:b w:val="false"/>
          <w:bCs w:val="false"/>
          <w:i w:val="false"/>
          <w:iCs w:val="false"/>
          <w:color w:val="222222"/>
          <w:sz w:val="22"/>
          <w:szCs w:val="22"/>
        </w:rPr>
        <w:t xml:space="preserve">[2] Singhal, K., Azizi, S., et al. (2023). Large Language Models Encode Clinical Knowledge. Nature, 620, 172–180. (Med-PaLM)</w:t>
      </w:r>
    </w:p>
    <w:p>
      <w:pPr>
        <w:spacing w:after="120" w:before="120"/>
      </w:pPr>
      <w:r>
        <w:rPr>
          <w:rFonts w:ascii="Arial" w:cs="Arial" w:eastAsia="Arial" w:hAnsi="Arial"/>
          <w:b w:val="false"/>
          <w:bCs w:val="false"/>
          <w:i w:val="false"/>
          <w:iCs w:val="false"/>
          <w:color w:val="222222"/>
          <w:sz w:val="22"/>
          <w:szCs w:val="22"/>
        </w:rPr>
        <w:t xml:space="preserve">[3] Jin, Q., et al. (2024). MedDec: A Dataset for Extracting Medical Decisions from Discharge Summaries. ACL Findings 2024.</w:t>
      </w:r>
    </w:p>
    <w:p>
      <w:pPr>
        <w:spacing w:after="120" w:before="120"/>
      </w:pPr>
      <w:r>
        <w:rPr>
          <w:rFonts w:ascii="Arial" w:cs="Arial" w:eastAsia="Arial" w:hAnsi="Arial"/>
          <w:b w:val="false"/>
          <w:bCs w:val="false"/>
          <w:i w:val="false"/>
          <w:iCs w:val="false"/>
          <w:color w:val="222222"/>
          <w:sz w:val="22"/>
          <w:szCs w:val="22"/>
        </w:rPr>
        <w:t xml:space="preserve">[4] Gu, Y., Tinn, R., et al. (2021). Domain-Specific Language Model Pretraining for Biomedical NLP. ACM CHIL 2021. (PubMedBERT)</w:t>
      </w:r>
    </w:p>
    <w:p>
      <w:pPr>
        <w:spacing w:after="120" w:before="120"/>
      </w:pPr>
      <w:r>
        <w:rPr>
          <w:rFonts w:ascii="Arial" w:cs="Arial" w:eastAsia="Arial" w:hAnsi="Arial"/>
          <w:b w:val="false"/>
          <w:bCs w:val="false"/>
          <w:i w:val="false"/>
          <w:iCs w:val="false"/>
          <w:color w:val="222222"/>
          <w:sz w:val="22"/>
          <w:szCs w:val="22"/>
        </w:rPr>
        <w:t xml:space="preserve">[5] Jin, Q., Dhingra, B., et al. (2019). PubMedQA: A Biomedical Research Question Answering Dataset. EMNLP 2019.</w:t>
      </w:r>
    </w:p>
    <w:p>
      <w:pPr>
        <w:spacing w:after="120" w:before="120"/>
      </w:pPr>
      <w:r>
        <w:rPr>
          <w:rFonts w:ascii="Arial" w:cs="Arial" w:eastAsia="Arial" w:hAnsi="Arial"/>
          <w:b w:val="false"/>
          <w:bCs w:val="false"/>
          <w:i w:val="false"/>
          <w:iCs w:val="false"/>
          <w:color w:val="222222"/>
          <w:sz w:val="22"/>
          <w:szCs w:val="22"/>
        </w:rPr>
        <w:t xml:space="preserve">[6] Johnson, A.E.W., et al. (2016). MIMIC-III, a freely accessible critical care database. Scientific Data, 3, 160035.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026"/>
      </w:tabs>
    </w:pPr>
    <w:r>
      <w:rPr>
        <w:rFonts w:ascii="Arial" w:cs="Arial" w:eastAsia="Arial" w:hAnsi="Arial"/>
        <w:color w:val="666666"/>
        <w:sz w:val="16"/>
        <w:szCs w:val="16"/>
      </w:rPr>
      <w:t xml:space="preserve">Reliable Clinical NLP using RAG with Continuous Knowledge Updating</w:t>
    </w:r>
    <w:r>
      <w:rPr>
        <w:rFonts w:ascii="Arial" w:cs="Arial" w:eastAsia="Arial" w:hAnsi="Arial"/>
        <w:color w:val="666666"/>
        <w:sz w:val="16"/>
        <w:szCs w:val="16"/>
      </w:rPr>
      <w:t xml:space="preserve">	Page </w:t>
    </w:r>
    <w:r>
      <w:rPr>
        <w:rFonts w:ascii="Arial" w:cs="Arial" w:eastAsia="Arial" w:hAnsi="Arial"/>
        <w:color w:val="666666"/>
        <w:sz w:val="16"/>
        <w:szCs w:val="16"/>
      </w:rPr>
      <w:t xml:space="preserve">PAGE_NUMBER_PLACEHOLDER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color w:val="666666"/>
        <w:sz w:val="18"/>
        <w:szCs w:val="18"/>
      </w:rPr>
      <w:t xml:space="preserve">CS5202 GenAI and LLM  |  Spring 2026  |  Final Report</w:t>
    </w:r>
    <w:r>
      <w:rPr>
        <w:rFonts w:ascii="Arial" w:cs="Arial" w:eastAsia="Arial" w:hAnsi="Arial"/>
        <w:color w:val="666666"/>
        <w:sz w:val="18"/>
        <w:szCs w:val="18"/>
      </w:rPr>
      <w:t xml:space="preserve">         Team 2 — GENAI-ECM008-021-006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2026-05-15T11:14:06.161Z</dcterms:created>
  <dcterms:modified xsi:type="dcterms:W3CDTF">2026-05-15T11:14:06.236Z</dcterms:modified>
</cp:coreProperties>
</file>

<file path=docProps/custom.xml><?xml version="1.0" encoding="utf-8"?>
<Properties xmlns="http://schemas.openxmlformats.org/officeDocument/2006/custom-properties" xmlns:vt="http://schemas.openxmlformats.org/officeDocument/2006/docPropsVTypes"/>
</file>