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0284C7"/>
          <w:sz w:val="22"/>
          <w:szCs w:val="22"/>
        </w:rPr>
        <w:t xml:space="preserve">AUDITFLOW AI &amp; DESARROLLOS CON IA</w:t>
      </w:r>
    </w:p>
    <w:p>
      <w:pPr>
        <w:spacing w:after="150" w:before="80"/>
        <w:jc w:val="center"/>
      </w:pPr>
      <w:r>
        <w:rPr>
          <w:b/>
          <w:bCs/>
          <w:color w:val="0F172A"/>
          <w:sz w:val="34"/>
          <w:szCs w:val="34"/>
        </w:rPr>
        <w:t xml:space="preserve">MASTER PROMPT BLUEPRINT 3.0 MAGNA</w:t>
      </w:r>
    </w:p>
    <w:p>
      <w:pPr>
        <w:spacing w:after="250" w:before="50"/>
        <w:jc w:val="center"/>
      </w:pPr>
      <w:r>
        <w:rPr>
          <w:b/>
          <w:bCs/>
          <w:color w:val="475569"/>
          <w:sz w:val="20"/>
          <w:szCs w:val="20"/>
        </w:rPr>
        <w:t xml:space="preserve">SISTEMA INTEGRAL: FÁBRICA MICROSaaS, MULTI-AGENTE, N8N &amp; CLOUD 24/7</w:t>
      </w:r>
    </w:p>
    <w:p>
      <w:pPr>
        <w:spacing w:after="200" w:before="100"/>
      </w:pPr>
      <w:r>
        <w:rPr>
          <w:i/>
          <w:iCs/>
          <w:color w:val="0369A1"/>
          <w:sz w:val="20"/>
          <w:szCs w:val="20"/>
        </w:rPr>
        <w:t xml:space="preserve">DIRECTIVA INMUTABLE: Este documento constituye la Fuente Única de Verdad (SSOT) para construir y replicar sistemas autónomos y MicroSaaS de alta rentabilidad. Rige el principio de Independencia Física Absoluta: ningún proceso en producción debe depender de la computadora local del desarrollador.</w:t>
      </w:r>
    </w:p>
    <w:p>
      <w:pPr>
        <w:pStyle w:val="Heading1"/>
        <w:spacing w:after="100" w:before="250"/>
      </w:pPr>
      <w:r>
        <w:rPr>
          <w:b/>
          <w:bCs/>
          <w:color w:val="0F172A"/>
          <w:sz w:val="26"/>
          <w:szCs w:val="26"/>
        </w:rPr>
        <w:t xml:space="preserve">PILAR 1: GOBERNANZA MULTI-AGENTE &amp; JERARQUÍA DE 3 NIVELES</w:t>
      </w:r>
    </w:p>
    <w:p>
      <w:r>
        <w:rPr>
          <w:b/>
          <w:bCs/>
        </w:rPr>
        <w:t xml:space="preserve">1. Las 5 Leyes Inmutables: </w:t>
      </w:r>
      <w:r>
        <w:t xml:space="preserve">Determinismo de Esquemas (JSON Schema estricto), Principio Fail-Closed (fallo seguro), Memoria RAM Volátil (cero almacenamiento de documentos sensibles en disco bajo GDPR Art. 28), Desacoplamiento Estricto y Aislamiento de Contexto (Anti-Context Bloat).</w:t>
      </w:r>
    </w:p>
    <w:p>
      <w:r>
        <w:rPr>
          <w:b/>
          <w:bCs/>
        </w:rPr>
        <w:t xml:space="preserve">2. Jerarquía de 3 Niveles: </w:t>
      </w:r>
      <w:r>
        <w:t xml:space="preserve">Nivel 1: Dirección Estratégica (CEO Humano + GM/COO Agente). Nivel 2: Especialistas de Dominio (CMVO, CFO, Legal, Psicólogo del Consumidor). Nivel 3: Ejecutores Técnicos Atómicos con contratos de entrada y salida JSON inmutables.</w:t>
      </w:r>
    </w:p>
    <w:p>
      <w:r>
        <w:rPr>
          <w:b/>
          <w:bCs/>
        </w:rPr>
        <w:t xml:space="preserve">3. Plantilla Universal YAML Frontmatter: </w:t>
      </w:r>
      <w:r>
        <w:t xml:space="preserve">Todo agente en .agents/agents/ debe definir su encabezado con name, role, model, temperature (0.1 para determinismo) y context_budget_tokens (8192).</w:t>
      </w:r>
    </w:p>
    <w:p>
      <w:pPr>
        <w:pStyle w:val="Heading1"/>
        <w:spacing w:after="100" w:before="250"/>
      </w:pPr>
      <w:r>
        <w:rPr>
          <w:b/>
          <w:bCs/>
          <w:color w:val="0F172A"/>
          <w:sz w:val="26"/>
          <w:szCs w:val="26"/>
        </w:rPr>
        <w:t xml:space="preserve">PILAR 2: ARQUITECTURA DE INTEGRACIÓN Y WORKFLOWS CON N8N</w:t>
      </w:r>
    </w:p>
    <w:p>
      <w:r>
        <w:rPr>
          <w:b/>
          <w:bCs/>
        </w:rPr>
        <w:t xml:space="preserve">1. Dispatcher Pattern: </w:t>
      </w:r>
      <w:r>
        <w:t xml:space="preserve">Un flujo central en N8N recibe webhooks autenticados, valida el esquema de entrada y enruta el evento a sub-workflows especializados por dominio.</w:t>
      </w:r>
    </w:p>
    <w:p>
      <w:r>
        <w:rPr>
          <w:b/>
          <w:bCs/>
        </w:rPr>
        <w:t xml:space="preserve">2. Resiliencia &amp; Circuit Breakers: </w:t>
      </w:r>
      <w:r>
        <w:t xml:space="preserve">Reintentos exponenciales automáticos ante fallas transitorias de red (1s, 5s, 15s) y alerta inmediata al correo del CEO en caso de error crítico no recuperable.</w:t>
      </w:r>
    </w:p>
    <w:p>
      <w:pPr>
        <w:pStyle w:val="Heading1"/>
        <w:spacing w:after="100" w:before="250"/>
      </w:pPr>
      <w:r>
        <w:rPr>
          <w:b/>
          <w:bCs/>
          <w:color w:val="0F172A"/>
          <w:sz w:val="26"/>
          <w:szCs w:val="26"/>
        </w:rPr>
        <w:t xml:space="preserve">PILAR 3: FÁBRICA DE MICROSaaS B2B &amp; FRONTEND DE ALTA CONVERSIÓN</w:t>
      </w:r>
    </w:p>
    <w:p>
      <w:r>
        <w:rPr>
          <w:b/>
          <w:bCs/>
        </w:rPr>
        <w:t xml:space="preserve">1. Backend Dual: </w:t>
      </w:r>
      <w:r>
        <w:t xml:space="preserve">server.js en Express para entorno local/Docker y directorio /api con funciones serverless independientes para producción en Vercel.</w:t>
      </w:r>
    </w:p>
    <w:p>
      <w:r>
        <w:rPr>
          <w:b/>
          <w:bCs/>
        </w:rPr>
        <w:t xml:space="preserve">2. SEO Programático &amp; Protocolo IndexNow: </w:t>
      </w:r>
      <w:r>
        <w:t xml:space="preserve">Notificación instantánea en &lt;5 segundos a buscadores cada vez que se publica una landing de nicho con datos estructurados Schema.org.</w:t>
      </w:r>
    </w:p>
    <w:p>
      <w:r>
        <w:rPr>
          <w:b/>
          <w:bCs/>
        </w:rPr>
        <w:t xml:space="preserve">3. Psicología de Dolor Financiero &amp; Entregables en Word: </w:t>
      </w:r>
      <w:r>
        <w:t xml:space="preserve">Titulares orientados a fugas de EBITDA detectadas y generación de reportes con Control de Cambios en Word (.docx) para facilitar la negociación.</w:t>
      </w:r>
    </w:p>
    <w:p>
      <w:pPr>
        <w:pStyle w:val="Heading1"/>
        <w:spacing w:after="100" w:before="250"/>
      </w:pPr>
      <w:r>
        <w:rPr>
          <w:b/>
          <w:bCs/>
          <w:color w:val="0F172A"/>
          <w:sz w:val="26"/>
          <w:szCs w:val="26"/>
        </w:rPr>
        <w:t xml:space="preserve">PILAR 4: PASARELAS DE PAGO HÍBRIDAS (STRIPE USD &amp; BITCOIN SATS)</w:t>
      </w:r>
    </w:p>
    <w:p>
      <w:r>
        <w:rPr>
          <w:b/>
          <w:bCs/>
        </w:rPr>
        <w:t xml:space="preserve">1. Stripe Fiat USD: </w:t>
      </w:r>
      <w:r>
        <w:t xml:space="preserve">Cobro Pay-per-use para diagnósticos ($19 USD) y suscripciones recurrentes ($49 - $69/mes o $590/año) con webhooks de acreditación instantánea.</w:t>
      </w:r>
    </w:p>
    <w:p>
      <w:r>
        <w:rPr>
          <w:b/>
          <w:bCs/>
        </w:rPr>
        <w:t xml:space="preserve">2. Strike Lightning Network: </w:t>
      </w:r>
      <w:r>
        <w:t xml:space="preserve">Micropagos globales instantáneos en Satoshis con conciliación automática en USD y cero fricción bancaria.</w:t>
      </w:r>
    </w:p>
    <w:p>
      <w:pPr>
        <w:pStyle w:val="Heading1"/>
        <w:spacing w:after="100" w:before="250"/>
      </w:pPr>
      <w:r>
        <w:rPr>
          <w:b/>
          <w:bCs/>
          <w:color w:val="0F172A"/>
          <w:sz w:val="26"/>
          <w:szCs w:val="26"/>
        </w:rPr>
        <w:t xml:space="preserve">PILAR 5: PROSPECCIÓN FIDUCIARIA, EMAIL OUTREACH &amp; BUFFER SOCIAL</w:t>
      </w:r>
    </w:p>
    <w:p>
      <w:r>
        <w:rPr>
          <w:b/>
          <w:bCs/>
        </w:rPr>
        <w:t xml:space="preserve">1. Aislamiento de Rebotes (Bounce Isolation): </w:t>
      </w:r>
      <w:r>
        <w:t xml:space="preserve">Despacho vía Resend API con SPF/DKIM y buzón de control (tendenciaiatufuturo@gmail.com), manteniendo la bandeja personal del CEO blindada solo para ventas.</w:t>
      </w:r>
    </w:p>
    <w:p>
      <w:r>
        <w:rPr>
          <w:b/>
          <w:bCs/>
        </w:rPr>
        <w:t xml:space="preserve">2. Distribución Multicanal con Buffer: </w:t>
      </w:r>
      <w:r>
        <w:t xml:space="preserve">Prioridad B2B en LinkedIn Company Page, guardas anti-duplicados de 24 horas y validación estricta de formatos (post para imágenes estáticas, reels para video).</w:t>
      </w:r>
    </w:p>
    <w:p>
      <w:pPr>
        <w:pStyle w:val="Heading1"/>
        <w:spacing w:after="100" w:before="250"/>
      </w:pPr>
      <w:r>
        <w:rPr>
          <w:b/>
          <w:bCs/>
          <w:color w:val="0F172A"/>
          <w:sz w:val="26"/>
          <w:szCs w:val="26"/>
        </w:rPr>
        <w:t xml:space="preserve">PILAR 6: INFRAESTRUCTURA CLOUD 24/7 (CERO DEPENDENCIA LOCAL)</w:t>
      </w:r>
    </w:p>
    <w:p>
      <w:r>
        <w:rPr>
          <w:b/>
          <w:bCs/>
        </w:rPr>
        <w:t xml:space="preserve">1. Ley de Independencia Física: </w:t>
      </w:r>
      <w:r>
        <w:t xml:space="preserve">Prohibición estricta de usar Windows Task Scheduler o scripts .bat locales en producción. Si la computadora del dueño está apagada, la nube opera al 100%.</w:t>
      </w:r>
    </w:p>
    <w:p>
      <w:r>
        <w:rPr>
          <w:b/>
          <w:bCs/>
        </w:rPr>
        <w:t xml:space="preserve">2. Patrón Master Cloud Dispatcher: </w:t>
      </w:r>
      <w:r>
        <w:t xml:space="preserve">Un único endpoint maestro (/api/cron/master-dispatcher) activado por un Webhook Scheduler externo gratuito (cron-job.org / Upstash QStash) que supera cualquier limitación de planes Hobby serverless.</w:t>
      </w:r>
    </w:p>
    <w:p>
      <w:r>
        <w:rPr>
          <w:b/>
          <w:bCs/>
        </w:rPr>
        <w:t xml:space="preserve">3. Persistencia en Base de Datos Cloud (Supabase): </w:t>
      </w:r>
      <w:r>
        <w:t xml:space="preserve">Las funciones serverless son stateless; todo avance de campañas y bitácora se persiste en Supabase (system_state) antes de concluir.</w:t>
      </w:r>
    </w:p>
    <w:p>
      <w:r>
        <w:rPr>
          <w:b/>
          <w:bCs/>
        </w:rPr>
        <w:t xml:space="preserve">4. Criterio de Aceptación y Certificación Viva: </w:t>
      </w:r>
      <w:r>
        <w:t xml:space="preserve">Ninguna tarea se considera terminada hasta que una llamada HTTP real contra https://dominio.com/api/... devuelva HTTP 200 OK y se reciba telemetría en el correo del CEO.</w:t>
      </w:r>
    </w:p>
    <w:p>
      <w:pPr>
        <w:pStyle w:val="Heading2"/>
        <w:spacing w:after="100" w:before="250"/>
      </w:pPr>
      <w:r>
        <w:rPr>
          <w:b/>
          <w:bCs/>
          <w:color w:val="0F172A"/>
          <w:sz w:val="22"/>
          <w:szCs w:val="22"/>
        </w:rPr>
        <w:t xml:space="preserve">CHECKLIST OPERATIVO DE DESPLIEGUE EN 24 HORAS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38BDF8"/>
                <w:sz w:val="20"/>
                <w:szCs w:val="20"/>
              </w:rPr>
              <w:t xml:space="preserve">Horario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38BDF8"/>
                <w:sz w:val="20"/>
                <w:szCs w:val="20"/>
              </w:rPr>
              <w:t xml:space="preserve">Fase de Construcción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38BDF8"/>
                <w:sz w:val="20"/>
                <w:szCs w:val="20"/>
              </w:rPr>
              <w:t xml:space="preserve">Criterio de Certificación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00:00 - 02:00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Dominio, DNS, SSL y Vercel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10/10 en Mail-Tester y HTTPS canónico forzado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02:00 - 06:00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Backend Dual y Memoria RAM Volátil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 archivos residuales en disco duro (GDPR)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06:00 - 09:00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Stripe USD + Bitcoin Lightning Sats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Webhooks acreditando tokens en milisegundos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09:00 - 13:00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Frontend de Conversión &amp; IndexNow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IndexNow HTTP 200 en Bing API y Schema.org OK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13:00 - 17:00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Sistema Multi-Agente &amp; N8N Workflows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Validación estricta de JSON Schema sin fallas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17:00 - 20:00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Prospección Resend &amp; Buffer Social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Buzón del CEO 100% blindado y posts en redes OK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20:00 - 24:00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Certificación Cloud 24/7 (Master Dispatcher)</w:t>
            </w:r>
          </w:p>
        </w:tc>
        <w:tc>
          <w:tcPr>
            <w:tcW w:type="pct" w:w="40%"/>
            <w:tcBorders>
              <w:top w:val="single" w:color="CBD5E1" w:sz="1"/>
              <w:left w:val="none"/>
              <w:bottom w:val="single" w:color="CBD5E1" w:sz="1"/>
              <w:right w:val="none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Llamada HTTP externa 200 OK e independencia de PC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00" w:before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Prompt Blueprint 3.0 Magna — Sistema Universal</dc:title>
  <dc:creator>Ricardo (Director General) &amp; Antigravity Engineering</dc:creator>
  <dc:description>Framework Universal MicroSaaS B2B, Multi-Agente, N8N, Pagos Híbridos y Nube 24/7</dc:description>
  <cp:lastModifiedBy>Un-named</cp:lastModifiedBy>
  <cp:revision>1</cp:revision>
  <dcterms:created xsi:type="dcterms:W3CDTF">2026-09-10T16:13:41.515Z</dcterms:created>
  <dcterms:modified xsi:type="dcterms:W3CDTF">2026-09-10T16:13:41.516Z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