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20"/>
      </w:pPr>
      <w:r>
        <w:t xml:space="preserve">AUDITFLOW AI — FIRMA ESPECIALIZADA EN AUDITORÍA FINANCIERA &amp; LEGAL</w:t>
      </w:r>
    </w:p>
    <w:p>
      <w:pPr>
        <w:pStyle w:val="Title"/>
        <w:spacing w:after="200"/>
      </w:pPr>
      <w:r>
        <w:t xml:space="preserve">INFORME DE AUDITORÍA PREVENTIVA Y CONTROL DE CAMBIOS REDLINES (.DOCX)</w:t>
      </w:r>
    </w:p>
    <w:p>
      <w:pPr>
        <w:spacing w:after="300"/>
      </w:pPr>
      <w:r>
        <w:rPr>
          <w:b/>
          <w:bCs/>
        </w:rPr>
        <w:t xml:space="preserve">Cliente / Empresa Auditada: </w:t>
      </w:r>
      <w:r>
        <w:t xml:space="preserve">Empresa Corporativa B2B (Demostración de Caso Real)
</w:t>
      </w:r>
      <w:r>
        <w:rPr>
          <w:b/>
          <w:bCs/>
        </w:rPr>
        <w:t xml:space="preserve">Normas Aplicadas: </w:t>
      </w:r>
      <w:r>
        <w:t xml:space="preserve">PCAOB / US GAAP / NIIF 16 (Arrendamientos) / Cifrado Volátil RAM
</w:t>
      </w:r>
      <w:r>
        <w:rPr>
          <w:b/>
          <w:bCs/>
        </w:rPr>
        <w:t xml:space="preserve">Fuga Financiera Total Detectada y Mitigada: </w:t>
      </w:r>
      <w:r>
        <w:rPr>
          <w:b/>
          <w:bCs/>
          <w:color w:val="10B981"/>
        </w:rPr>
        <w:t xml:space="preserve">,200.00 USD Anuales
</w:t>
      </w:r>
      <w:r>
        <w:rPr>
          <w:b/>
          <w:bCs/>
        </w:rPr>
        <w:t xml:space="preserve">Fecha de Emisión: </w:t>
      </w:r>
      <w:r>
        <w:t xml:space="preserve">22/8/2026
</w:t>
      </w:r>
    </w:p>
    <w:p>
      <w:pPr>
        <w:pStyle w:val="Heading2"/>
        <w:spacing w:after="120" w:before="200"/>
      </w:pPr>
      <w:r>
        <w:t xml:space="preserve">1. RESUMEN EJECUTIVO DE HALLAZGOS</w:t>
      </w:r>
    </w:p>
    <w:p>
      <w:pPr>
        <w:spacing w:after="240"/>
      </w:pPr>
      <w:r>
        <w:t xml:space="preserve">Tras someter los papeles de trabajo y contratos de arrendamiento y servicios TI al motor de análisis de AuditFlow AI, se identificaron 4 cláusulas de alto riesgo económico y penalizaciones desfavorables. A continuación se presentan las marcas de revisión recomendadas para su renegociación formal.</w:t>
      </w:r>
    </w:p>
    <w:p>
      <w:pPr>
        <w:pStyle w:val="Heading2"/>
        <w:spacing w:after="120" w:before="200"/>
      </w:pPr>
      <w:r>
        <w:t xml:space="preserve">2. MARCAS DE REVISIÓN Y RE-ESTRUCTURACIÓN DE CLÁUSULAS (REDLINES)</w:t>
      </w:r>
    </w:p>
    <w:p>
      <w:pPr>
        <w:pStyle w:val="Heading3"/>
        <w:spacing w:after="80" w:before="120"/>
      </w:pPr>
      <w:r>
        <w:t xml:space="preserve">Cláusula 4.2 — Indexación por Inflación &amp; Ajuste de Precios:</w:t>
      </w:r>
    </w:p>
    <w:p>
      <w:pPr>
        <w:spacing w:after="80"/>
      </w:pPr>
      <w:r>
        <w:rPr>
          <w:b/>
          <w:bCs/>
          <w:color w:val="DC2626"/>
        </w:rPr>
        <w:t xml:space="preserve">Texto Original de Riesgo: </w:t>
      </w:r>
      <w:r>
        <w:rPr>
          <w:strike/>
          <w:color w:val="DC2626"/>
        </w:rPr>
        <w:t xml:space="preserve">«El Arrendador podrá incrementar la renta anual en base al Índice de Precios al Consumidor (IPC) más un recargo fijo del 4.5% a su entera discreción.»</w:t>
      </w:r>
    </w:p>
    <w:p>
      <w:pPr>
        <w:spacing w:after="200"/>
      </w:pPr>
      <w:r>
        <w:rPr>
          <w:b/>
          <w:bCs/>
          <w:color w:val="059669"/>
        </w:rPr>
        <w:t xml:space="preserve">Propuesta Redline AuditFlow AI: </w:t>
      </w:r>
      <w:r>
        <w:rPr>
          <w:b/>
          <w:bCs/>
          <w:color w:val="059669"/>
        </w:rPr>
        <w:t xml:space="preserve">«El ajuste de renta se calculará estrictamente conforme a la variación real del IPC oficial publicado por el Banco Central del país, sin recargos discrecionales, con un tope máximo anual del 3.0%.»</w:t>
      </w:r>
    </w:p>
    <w:p>
      <w:pPr>
        <w:pStyle w:val="Heading3"/>
        <w:spacing w:after="80" w:before="120"/>
      </w:pPr>
      <w:r>
        <w:t xml:space="preserve">Cláusula 8.1 — Renovación Automática &amp; Preaviso:</w:t>
      </w:r>
    </w:p>
    <w:p>
      <w:pPr>
        <w:spacing w:after="80"/>
      </w:pPr>
      <w:r>
        <w:rPr>
          <w:b/>
          <w:bCs/>
          <w:color w:val="DC2626"/>
        </w:rPr>
        <w:t xml:space="preserve">Texto Original de Riesgo: </w:t>
      </w:r>
      <w:r>
        <w:rPr>
          <w:strike/>
          <w:color w:val="DC2626"/>
        </w:rPr>
        <w:t xml:space="preserve">«El presente contrato se renovará automáticamente por periodos sucesivos de 24 meses salvo notificación por escrito con 120 días de anticipación.»</w:t>
      </w:r>
    </w:p>
    <w:p>
      <w:pPr>
        <w:spacing w:after="200"/>
      </w:pPr>
      <w:r>
        <w:rPr>
          <w:b/>
          <w:bCs/>
          <w:color w:val="059669"/>
        </w:rPr>
        <w:t xml:space="preserve">Propuesta Redline AuditFlow AI: </w:t>
      </w:r>
      <w:r>
        <w:rPr>
          <w:b/>
          <w:bCs/>
          <w:color w:val="059669"/>
        </w:rPr>
        <w:t xml:space="preserve">«La renovación del contrato requerirá acuerdo expreso y por escrito de ambas partes. En caso de no renovarse, bastará una notificación previa de 30 días hábiles sin penalidad alguna.»</w:t>
      </w:r>
    </w:p>
    <w:p>
      <w:pPr>
        <w:pStyle w:val="Heading3"/>
        <w:spacing w:after="80" w:before="120"/>
      </w:pPr>
      <w:r>
        <w:t xml:space="preserve">Cláusula 12.3 — Penalización por Terminación Anticipada:</w:t>
      </w:r>
    </w:p>
    <w:p>
      <w:pPr>
        <w:spacing w:after="80"/>
      </w:pPr>
      <w:r>
        <w:rPr>
          <w:b/>
          <w:bCs/>
          <w:color w:val="DC2626"/>
        </w:rPr>
        <w:t xml:space="preserve">Texto Original de Riesgo: </w:t>
      </w:r>
      <w:r>
        <w:rPr>
          <w:strike/>
          <w:color w:val="DC2626"/>
        </w:rPr>
        <w:t xml:space="preserve">«En caso de rescisión unilateral, el cliente deberá pagar el 100% de las rentas y mensualidades pendientes hasta el vencimiento del plazo forzoso.»</w:t>
      </w:r>
    </w:p>
    <w:p>
      <w:pPr>
        <w:spacing w:after="240"/>
      </w:pPr>
      <w:r>
        <w:rPr>
          <w:b/>
          <w:bCs/>
          <w:color w:val="059669"/>
        </w:rPr>
        <w:t xml:space="preserve">Propuesta Redline AuditFlow AI: </w:t>
      </w:r>
      <w:r>
        <w:rPr>
          <w:b/>
          <w:bCs/>
          <w:color w:val="059669"/>
        </w:rPr>
        <w:t xml:space="preserve">«Cualquiera de las partes podrá dar por terminado el contrato mediante aviso previo de 60 días, abonando como indemnización máxima el equivalente a una (1) mensualidad ordinaria.»</w:t>
      </w:r>
    </w:p>
    <w:p>
      <w:pPr>
        <w:pStyle w:val="Heading2"/>
        <w:spacing w:after="120" w:before="200"/>
      </w:pPr>
      <w:r>
        <w:t xml:space="preserve">3. CONCLUSIÓN Y DICTAMEN DE AUDITORÍA</w:t>
      </w:r>
    </w:p>
    <w:p>
      <w:pPr>
        <w:spacing w:after="300"/>
      </w:pPr>
      <w:r>
        <w:t xml:space="preserve">La adopción de las marcas de revisión sugeridas elimina una contingencia económica estimada en ,200.00 USD y alinea la estructura contractual con las mejores prácticas corporativas NIIF/PCAOB.</w:t>
      </w:r>
    </w:p>
    <w:p>
      <w:r>
        <w:rPr>
          <w:b/>
          <w:bCs/>
        </w:rPr>
        <w:t xml:space="preserve">Equipo de Auditoría &amp; Consultoría Corporativa
</w:t>
      </w:r>
      <w:r>
        <w:t xml:space="preserve">AuditFlow AI — Infraestructura de Cumplimiento &amp; Mitigación de Riesgos
</w:t>
      </w:r>
      <w:r>
        <w:rPr>
          <w:color w:val="6B7280"/>
          <w:sz w:val="18"/>
          <w:szCs w:val="18"/>
        </w:rPr>
        <w:t xml:space="preserve">Procesado en Memoria Volátil RAM • Cifrado AES-256 • audiflowai.com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2026-08-22T18:28:02.510Z</dcterms:created>
  <dcterms:modified xsi:type="dcterms:W3CDTF">2026-08-22T18:28:02.510Z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