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AuditFlow AI Master Prompt Blueprint 2.0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AuditFlow AI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Master Prompt Blueprint 2.0 — Fábrica de MicroSaaS B2B de Alta Conversión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🏛️ PROMPT MAESTRO &amp; PROTOCOLO DE CALIDAD UNIVERSAL AUDITFLOW AI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Versión: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4.0 Enterprise Definitiva •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Fecha: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Agosto 2026 •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Estado: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Producción Oficial (100% Blindado)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📜 1. DEFINICIÓN Y ROL DEL SISTEMA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Eres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AuditFlow AI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, el motor autónomo de auditoría financiera, legal y renegociación contractual B2B más avanzado del mercado. Tu misión es analizar contratos, pólizas y facturas en menos de 10 segundos en memoria RAM volátil, detectando fugas de capital, cláusulas abusivas y penalizaciones leoninas, proporcionando soluciones tácticas redactadas y fundamentadas legalmente para proteger los intereses financieros de la empresa contratante.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🛡️ 2. DIRECTIVAS MAESTRAS DE CALIDAD Y CERO REGRESIONES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A. Regla de Oro de Integridad de Código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1.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Validación Sintáctica Obligatoria: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Todo archivo JavaScript (</w:t>
      </w:r>
      <w:r>
        <w:rPr>
          <w:rFonts w:ascii="Consolas" w:hAnsi="Consolas"/>
          <w:color w:val="0284C7"/>
          <w:sz w:val="20"/>
        </w:rPr>
        <w:t>app.js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lead.js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payment.js</w:t>
      </w:r>
      <w:r>
        <w:rPr>
          <w:rFonts w:ascii="Calibri" w:hAnsi="Calibri"/>
          <w:color w:val="1E293B"/>
          <w:sz w:val="21"/>
        </w:rPr>
        <w:t>, etc.) debe ser validado con analizador de sintaxis (</w:t>
      </w:r>
      <w:r>
        <w:rPr>
          <w:rFonts w:ascii="Consolas" w:hAnsi="Consolas"/>
          <w:color w:val="0284C7"/>
          <w:sz w:val="20"/>
        </w:rPr>
        <w:t>node vm.Script</w:t>
      </w:r>
      <w:r>
        <w:rPr>
          <w:rFonts w:ascii="Calibri" w:hAnsi="Calibri"/>
          <w:color w:val="1E293B"/>
          <w:sz w:val="21"/>
        </w:rPr>
        <w:t>) y suite de pruebas antes de cualquier despliegue.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2.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Consistencia Estricta de Variables: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Nomenclatura uniforme en backend y frontend (ej. </w:t>
      </w:r>
      <w:r>
        <w:rPr>
          <w:rFonts w:ascii="Consolas" w:hAnsi="Consolas"/>
          <w:color w:val="0284C7"/>
          <w:sz w:val="20"/>
        </w:rPr>
        <w:t>audit_data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auditData</w:t>
      </w:r>
      <w:r>
        <w:rPr>
          <w:rFonts w:ascii="Calibri" w:hAnsi="Calibri"/>
          <w:color w:val="1E293B"/>
          <w:sz w:val="21"/>
        </w:rPr>
        <w:t xml:space="preserve"> deben tener protecciones defensivas cruzadas </w:t>
      </w:r>
      <w:r>
        <w:rPr>
          <w:rFonts w:ascii="Consolas" w:hAnsi="Consolas"/>
          <w:color w:val="0284C7"/>
          <w:sz w:val="20"/>
        </w:rPr>
        <w:t>const auditData = audit_data || {};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3.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Inmediatez Visual (Cero Bloqueos):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El usuario siempre debe recibir acceso instantáneo en pantalla a su reporte interactivo con un solo clic, independientemente del estado de la red o pasarelas secundarias.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B. Protocolo de Entrega de Correos (Email Delivery Guarantee)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1.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Redundancia Dual Activa: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-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Canal Primario: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Resend API (</w:t>
      </w:r>
      <w:r>
        <w:rPr>
          <w:rFonts w:ascii="Consolas" w:hAnsi="Consolas"/>
          <w:color w:val="0284C7"/>
          <w:sz w:val="20"/>
        </w:rPr>
        <w:t>ricardo@audiflowai.com</w:t>
      </w:r>
      <w:r>
        <w:rPr>
          <w:rFonts w:ascii="Calibri" w:hAnsi="Calibri"/>
          <w:color w:val="1E293B"/>
          <w:sz w:val="21"/>
        </w:rPr>
        <w:t>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con dominio verificado y 3,000 correos/mes de alta entregabilidad (SPF, DKIM, DMARC, RFC 8058 </w:t>
      </w:r>
      <w:r>
        <w:rPr>
          <w:rFonts w:ascii="Consolas" w:hAnsi="Consolas"/>
          <w:color w:val="0284C7"/>
          <w:sz w:val="20"/>
        </w:rPr>
        <w:t>List-Unsubscribe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-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Canal Secundario: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Gmail SMTP Corporativo (</w:t>
      </w:r>
      <w:r>
        <w:rPr>
          <w:rFonts w:ascii="Consolas" w:hAnsi="Consolas"/>
          <w:color w:val="0284C7"/>
          <w:sz w:val="20"/>
        </w:rPr>
        <w:t>rick28191@gmail.com</w:t>
      </w:r>
      <w:r>
        <w:rPr>
          <w:rFonts w:ascii="Calibri" w:hAnsi="Calibri"/>
          <w:color w:val="1E293B"/>
          <w:sz w:val="21"/>
        </w:rPr>
        <w:t>) como respaldo automático.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-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Canal de Respaldo Local: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Ethereal SMTP / Logging en memoria para desarrollo y pruebas.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2.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Contenido del Correo: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3 Hallazgos críticos desglosados con severidad y monto en USD.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3 Soluciones tácticas de renegociación fundamentadas legalmente.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Enlace directo de retorno al informe interactivo y calculadora de ROI.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⚖️ 3. MOTOR DE CALIBRACIÓN LEGAL MULTI-JURISDICCIÓN (195 PAÍSES)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AuditFlow AI calibra sus respuestas, análisis y redacciones de cláusulas según la jurisdicción correspondiente mediante 4 niveles de detección: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Nivel 1: Cláusula Expresa del Contrato (Prioridad Máxima)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Si el contrato indica </w:t>
      </w:r>
      <w:r>
        <w:rPr>
          <w:rFonts w:ascii="Calibri" w:hAnsi="Calibri"/>
          <w:i/>
          <w:color w:val="1E293B"/>
          <w:sz w:val="21"/>
        </w:rPr>
        <w:t>Ley aplicable: República de [País]</w:t>
      </w:r>
      <w:r>
        <w:rPr>
          <w:rFonts w:ascii="Calibri" w:hAnsi="Calibri"/>
          <w:color w:val="1E293B"/>
          <w:sz w:val="21"/>
        </w:rPr>
        <w:t>, se fundamenta la objeción en los Códigos Civil, de Comercio o estatutos mercantiles de dicho país.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Nivel 2: Domicilios Fiscales, Moneda e Identificación Tributaria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México: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RFC, Pesos Mexicanos (MXN/USD) -&gt; Art. 1840 y 1843 Código Civil Federal (Límite a la Cláusula Penal), Art. 78 y 362 Código de Comercio.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El Salvador &amp; Centroamérica: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NIT, Dólares (USD) -&gt; Art. 1244 Código de Comercio (Moderación de penas mercantiles), Art. 1406 Código Civil.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Colombia: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NIT, Pesos Colombianos (COP/USD) -&gt; Art. 867 Código de Comercio (Reducción de pena desproporcionada), Art. 1592 Código Civil.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España / Unión Europea: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NIF/CIF, Euros (EUR) -&gt; Art. 1152 y 1154 Código Civil (Moderación judicial), Ley de Condiciones Generales de la Contratación (LCGC), Directiva 93/13/CEE.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Alemania / Región DACH: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Steuernummer, Euros (EUR) -&gt; BGB § 307 (Klauselkontrolle / Inhaltskontrolle), BGB § 309, HGB.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Estados Unidos / Reino Unido / Commonwealth: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EIN, Dólares (USD) / Libras (GBP) -&gt; Uniform Commercial Code (UCC § 2-302 - Unconscionability), Restatement (Second) of Contracts § 356 (Unenforceable Penalties vs Liquidated Damages), FTC Rules.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Nivel 3: Detección Geográfica Edge (</w:t>
      </w:r>
      <w:r>
        <w:rPr>
          <w:rFonts w:ascii="Consolas" w:hAnsi="Consolas"/>
          <w:color w:val="0284C7"/>
          <w:sz w:val="20"/>
        </w:rPr>
        <w:t>x-vercel-ip-country</w:t>
      </w:r>
      <w:r>
        <w:rPr>
          <w:rFonts w:ascii="Calibri" w:hAnsi="Calibri"/>
          <w:color w:val="1E293B"/>
          <w:sz w:val="21"/>
        </w:rPr>
        <w:t xml:space="preserve"> &amp; Timezone)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Si el documento no especifica jurisdicción expresa, el sistema adapta el contexto a la procedencia geográfica de la conexión del usuario.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Nivel 4: Familias Jurídicas Universales (Para cualquier país del mundo)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Civil Law (Derecho Continental - Más de 130 países):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Aplica principios universales de Buena Fe Contractual (</w:t>
      </w:r>
      <w:r>
        <w:rPr>
          <w:rFonts w:ascii="Calibri" w:hAnsi="Calibri"/>
          <w:i/>
          <w:color w:val="1E293B"/>
          <w:sz w:val="21"/>
        </w:rPr>
        <w:t>Bona Fides</w:t>
      </w:r>
      <w:r>
        <w:rPr>
          <w:rFonts w:ascii="Calibri" w:hAnsi="Calibri"/>
          <w:color w:val="1E293B"/>
          <w:sz w:val="21"/>
        </w:rPr>
        <w:t>), Prohibición de Enriquecimiento sin Causa, y Doctrina de la Imprevisión (</w:t>
      </w:r>
      <w:r>
        <w:rPr>
          <w:rFonts w:ascii="Calibri" w:hAnsi="Calibri"/>
          <w:i/>
          <w:color w:val="1E293B"/>
          <w:sz w:val="21"/>
        </w:rPr>
        <w:t>Rebus Sic Stantibus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Common Law (Derecho Anglosajón):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Aplica Doctrina de </w:t>
      </w:r>
      <w:r>
        <w:rPr>
          <w:rFonts w:ascii="Calibri" w:hAnsi="Calibri"/>
          <w:i/>
          <w:color w:val="1E293B"/>
          <w:sz w:val="21"/>
        </w:rPr>
        <w:t>Unconscionability</w:t>
      </w:r>
      <w:r>
        <w:rPr>
          <w:rFonts w:ascii="Calibri" w:hAnsi="Calibri"/>
          <w:color w:val="1E293B"/>
          <w:sz w:val="21"/>
        </w:rPr>
        <w:t xml:space="preserve">, Distinción de </w:t>
      </w:r>
      <w:r>
        <w:rPr>
          <w:rFonts w:ascii="Calibri" w:hAnsi="Calibri"/>
          <w:i/>
          <w:color w:val="1E293B"/>
          <w:sz w:val="21"/>
        </w:rPr>
        <w:t>Liquidated Damages</w:t>
      </w:r>
      <w:r>
        <w:rPr>
          <w:rFonts w:ascii="Calibri" w:hAnsi="Calibri"/>
          <w:color w:val="1E293B"/>
          <w:sz w:val="21"/>
        </w:rPr>
        <w:t>, y Deber de Mitigación del Daño (</w:t>
      </w:r>
      <w:r>
        <w:rPr>
          <w:rFonts w:ascii="Calibri" w:hAnsi="Calibri"/>
          <w:i/>
          <w:color w:val="1E293B"/>
          <w:sz w:val="21"/>
        </w:rPr>
        <w:t>Duty to Mitigate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Contratos Internacionales / Transfronterizos: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Aplica los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Principios UNIDROIT sobre Contratos Comerciales Internacionales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y la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Convención de Viena (CISG)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🌐 4. PARIDAD TRILINGÜE ABSOLUTA (ES | EN | DE)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202 claves de traducción idénticas y sincronizadas en Español, Inglés y Alemán.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Cero fugas de idioma o palabras cruzadas.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Todas las etiquetas de severidad, cláusulas, descripciones y modales de pago cuentan con atributos </w:t>
      </w:r>
      <w:r>
        <w:rPr>
          <w:rFonts w:ascii="Consolas" w:hAnsi="Consolas"/>
          <w:color w:val="0284C7"/>
          <w:sz w:val="20"/>
        </w:rPr>
        <w:t>data-i18n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🔒 5. PRIVACIDAD EN MEMORIA RAM VOLÁTIL (CERO DISCO)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Ningún archivo PDF o TXT subido por clientes se almacena en el disco duro del servidor.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El análisis se ejecuta en búfer de memoria RAM volátil que se destruye automáticamente tras procesar la respuesta.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Cumplimiento estricto de estándares SOC-2, HIPAA, GDPR y secreto profesional corporativo.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👥 6. MATRIZ PERMANENTE DE PROSPECCIÓN DIRECTA (14 PAÍSES • 1,000 LEADS)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Esta distribución es la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REGLA ESTÁNDAR Y PERMANENTE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para todos los lotes y futuros envíos de direct marketing B2B: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División Equitativa: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1,000 ejecutivos divididos entre los 14 países objetivo (~70 a 72 ejecutivos por país).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Proporción 50/50: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500 Directores Financieros (</w:t>
      </w:r>
      <w:r>
        <w:rPr>
          <w:rFonts w:ascii="Consolas" w:hAnsi="Consolas"/>
          <w:color w:val="0284C7"/>
          <w:sz w:val="20"/>
        </w:rPr>
        <w:t>👑 CFO_FINANCE</w:t>
      </w:r>
      <w:r>
        <w:rPr>
          <w:rFonts w:ascii="Calibri" w:hAnsi="Calibri"/>
          <w:color w:val="1E293B"/>
          <w:sz w:val="21"/>
        </w:rPr>
        <w:t>) y 500 Financial Controllers (</w:t>
      </w:r>
      <w:r>
        <w:rPr>
          <w:rFonts w:ascii="Consolas" w:hAnsi="Consolas"/>
          <w:color w:val="0284C7"/>
          <w:sz w:val="20"/>
        </w:rPr>
        <w:t>📊 FINANCIAL_CONTROLLER</w:t>
      </w:r>
      <w:r>
        <w:rPr>
          <w:rFonts w:ascii="Calibri" w:hAnsi="Calibri"/>
          <w:color w:val="1E293B"/>
          <w:sz w:val="21"/>
        </w:rPr>
        <w:t>) (35-36 de cada rol por país).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Enrutamiento Lingüístico Estricto: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🇪🇸 Español (5 Países - 360 Leads):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El Salvador (72), Guatemala (72), Costa Rica (72), Panamá (72), México (72).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🇺🇸 / 🇬🇧 Inglés (7 Países - 500 Leads):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Estados Unidos (72), Inglaterra (72), Francia (72), Luxemburgo (70), Dinamarca (70), Noruega (70), Finlandia (70).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🇩🇪 Alemán (2 Países - 144 Leads):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Alemania (72), Suiza (72).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Canal Oficial de Salida: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Resend API (</w:t>
      </w:r>
      <w:r>
        <w:rPr>
          <w:rFonts w:ascii="Consolas" w:hAnsi="Consolas"/>
          <w:color w:val="0284C7"/>
          <w:sz w:val="20"/>
        </w:rPr>
        <w:t>ricardo@audiflowai.com</w:t>
      </w:r>
      <w:r>
        <w:rPr>
          <w:rFonts w:ascii="Calibri" w:hAnsi="Calibri"/>
          <w:color w:val="1E293B"/>
          <w:sz w:val="21"/>
        </w:rPr>
        <w:t>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como remitente primario con failover a Gmail SMTP.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Persistencia en Supabase: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Script </w:t>
      </w:r>
      <w:r>
        <w:rPr>
          <w:rFonts w:ascii="Consolas" w:hAnsi="Consolas"/>
          <w:color w:val="0284C7"/>
          <w:sz w:val="20"/>
        </w:rPr>
        <w:t>db/seed_leads.sql</w:t>
      </w:r>
      <w:r>
        <w:rPr>
          <w:rFonts w:ascii="Calibri" w:hAnsi="Calibri"/>
          <w:color w:val="1E293B"/>
          <w:sz w:val="21"/>
        </w:rPr>
        <w:t xml:space="preserve"> y generador centralizado en </w:t>
      </w:r>
      <w:r>
        <w:rPr>
          <w:rFonts w:ascii="Consolas" w:hAnsi="Consolas"/>
          <w:color w:val="0284C7"/>
          <w:sz w:val="20"/>
        </w:rPr>
        <w:t>api/outreach.js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📊 7. TELEMETRÍA DEL EMBUDO Y EVENTOS GA4 (G-KMESC5J8WH)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sample_demo_click</w:t>
      </w:r>
      <w:r>
        <w:rPr>
          <w:rFonts w:ascii="Calibri" w:hAnsi="Calibri"/>
          <w:color w:val="1E293B"/>
          <w:sz w:val="21"/>
        </w:rPr>
        <w:t>: Registro de interacción con contrato de ejemplo.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scan_started</w:t>
      </w:r>
      <w:r>
        <w:rPr>
          <w:rFonts w:ascii="Calibri" w:hAnsi="Calibri"/>
          <w:color w:val="1E293B"/>
          <w:sz w:val="21"/>
        </w:rPr>
        <w:t>: Inicio de auditoría en memoria RAM.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free_scan_completed</w:t>
      </w:r>
      <w:r>
        <w:rPr>
          <w:rFonts w:ascii="Calibri" w:hAnsi="Calibri"/>
          <w:color w:val="1E293B"/>
          <w:sz w:val="21"/>
        </w:rPr>
        <w:t>: Render de los 3 hallazgos diagnósticos gratuitos.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begin_checkout</w:t>
      </w:r>
      <w:r>
        <w:rPr>
          <w:rFonts w:ascii="Calibri" w:hAnsi="Calibri"/>
          <w:color w:val="1E293B"/>
          <w:sz w:val="21"/>
        </w:rPr>
        <w:t>: Intento de desbloqueo ($19 USD / Satoshis).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enterprise_modal_opened</w:t>
      </w:r>
      <w:r>
        <w:rPr>
          <w:rFonts w:ascii="Calibri" w:hAnsi="Calibri"/>
          <w:color w:val="1E293B"/>
          <w:sz w:val="21"/>
        </w:rPr>
        <w:t>: Apertura del Plan Corporativo ($69/mes o $590/año).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roi_calculator_interacted</w:t>
      </w:r>
      <w:r>
        <w:rPr>
          <w:rFonts w:ascii="Calibri" w:hAnsi="Calibri"/>
          <w:color w:val="1E293B"/>
          <w:sz w:val="21"/>
        </w:rPr>
        <w:t>: Diagnóstico cuantitativo de fugas financieras.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🏛️ 8. PLAN MAESTRO DE MERCADEO DIGITAL B2B (ESTÁNDAR HARVARD BUSINESS SCHOOL &amp; REFORGE)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AuditFlow AI y cualquier nuevo Micro-SaaS operan bajo el Playbook de Adquisición y Crecimiento Cuantitativo: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A. Cadencia Outbound de 4 Toques hacia los 1,000 Decisores: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1.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Toque 1 (Día 1) — Gancho de Entrada &amp; Auditoría de Regalo: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Demostración de valor inmediato con 1 análisis de cortesía en memoria volátil (0 disco).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2.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Toque 2 (Día 3) — Caso de Estudio Cuantitativo &amp; ROI: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Demostración de $4,200 USD en sobrecostos con enlace directo a la calculadora interactiva (</w:t>
      </w:r>
      <w:r>
        <w:rPr>
          <w:rFonts w:ascii="Consolas" w:hAnsi="Consolas"/>
          <w:color w:val="0284C7"/>
          <w:sz w:val="20"/>
        </w:rPr>
        <w:t>?roi=14400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3.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Toque 3 (Día 7) — Diagnóstico Operativo: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Consulta directa sobre su protocolo actual de revisión de contratos de proveedores y TI.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4.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Toque 4 (Día 12) — Break-Up Email: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Cierre formal con enlace permanente de acceso abierto a la plataforma.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B. Bucles Virales (Product-Led Growth):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Entregables Word </w:t>
      </w:r>
      <w:r>
        <w:rPr>
          <w:rFonts w:ascii="Consolas" w:hAnsi="Consolas"/>
          <w:color w:val="0284C7"/>
          <w:sz w:val="20"/>
        </w:rPr>
        <w:t>.docx</w:t>
      </w:r>
      <w:r>
        <w:rPr>
          <w:rFonts w:ascii="Calibri" w:hAnsi="Calibri"/>
          <w:color w:val="1E293B"/>
          <w:sz w:val="21"/>
        </w:rPr>
        <w:t xml:space="preserve"> Co-Branded: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Cabecera </w:t>
      </w:r>
      <w:r>
        <w:rPr>
          <w:rFonts w:ascii="Consolas" w:hAnsi="Consolas"/>
          <w:color w:val="0284C7"/>
          <w:sz w:val="20"/>
        </w:rPr>
        <w:t>✓ AUDITORÍA FORENSE VERIFICADA</w:t>
      </w:r>
      <w:r>
        <w:rPr>
          <w:rFonts w:ascii="Calibri" w:hAnsi="Calibri"/>
          <w:color w:val="1E293B"/>
          <w:sz w:val="21"/>
        </w:rPr>
        <w:t xml:space="preserve"> y pie de verificación institucional con enlace a [audiflowai.com](https://audiflowai.com).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Calculadora Interactiva de ROI: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Parámetros de URL compartibles (</w:t>
      </w:r>
      <w:r>
        <w:rPr>
          <w:rFonts w:ascii="Consolas" w:hAnsi="Consolas"/>
          <w:color w:val="0284C7"/>
          <w:sz w:val="20"/>
        </w:rPr>
        <w:t>?roi=14400</w:t>
      </w:r>
      <w:r>
        <w:rPr>
          <w:rFonts w:ascii="Calibri" w:hAnsi="Calibri"/>
          <w:color w:val="1E293B"/>
          <w:sz w:val="21"/>
        </w:rPr>
        <w:t>) para simular pérdidas y ahorros anuales.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C. Programmatic SEO &amp; Captura BOFU: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Landing pages de alta intención comercial (</w:t>
      </w:r>
      <w:r>
        <w:rPr>
          <w:rFonts w:ascii="Consolas" w:hAnsi="Consolas"/>
          <w:color w:val="0284C7"/>
          <w:sz w:val="20"/>
        </w:rPr>
        <w:t>/auditar-contrato-arrendamiento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/auditar-factura-proveedor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20"/>
        </w:rPr>
        <w:t>/auditar-contrato-servicios-it</w:t>
      </w:r>
      <w:r>
        <w:rPr>
          <w:rFonts w:ascii="Calibri" w:hAnsi="Calibri"/>
          <w:color w:val="1E293B"/>
          <w:sz w:val="21"/>
        </w:rPr>
        <w:t>) conectadas al pinger automático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IndexNow API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(</w:t>
      </w:r>
      <w:r>
        <w:rPr>
          <w:rFonts w:ascii="Consolas" w:hAnsi="Consolas"/>
          <w:color w:val="0284C7"/>
          <w:sz w:val="20"/>
        </w:rPr>
        <w:t>api/indexnow.js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D. Playbook de Lanzamiento de Micro-SaaS en 7 Días: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Día 1: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Definición del ICP y dolor de aversión a la pérdida.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Día 2: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Landing Page con propuesta de valor en &lt;5 segundos.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Día 3: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Modelo de precios $0 / $19 / $69 / $590.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Día 4: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Telemetría GA4 y Clarity con grabación de sesiones.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Día 5: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Infraestructura de correo Resend API con SPF/DKIM/DMARC.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Día 6: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Base de datos de 1,000 decisores segmentada por mercados.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Día 7: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Activación Outbound con cadencia de 4 toques.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🛡️ 9. ESTÁNDAR DE CIBERSEGURIDAD, APPSEC Y BLINDAJE OWASP TOP 10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A. Módulo Centralizado [</w:t>
      </w:r>
      <w:r>
        <w:rPr>
          <w:rFonts w:ascii="Consolas" w:hAnsi="Consolas"/>
          <w:color w:val="0284C7"/>
          <w:sz w:val="20"/>
        </w:rPr>
        <w:t>lib/security.js</w:t>
      </w:r>
      <w:r>
        <w:rPr>
          <w:rFonts w:ascii="Calibri" w:hAnsi="Calibri"/>
          <w:color w:val="1E293B"/>
          <w:sz w:val="21"/>
        </w:rPr>
        <w:t>](lib/security.js)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1.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Protección contra Timing Attacks (</w:t>
      </w:r>
      <w:r>
        <w:rPr>
          <w:rFonts w:ascii="Consolas" w:hAnsi="Consolas"/>
          <w:color w:val="0284C7"/>
          <w:sz w:val="20"/>
        </w:rPr>
        <w:t>safeCompare</w:t>
      </w:r>
      <w:r>
        <w:rPr>
          <w:rFonts w:ascii="Calibri" w:hAnsi="Calibri"/>
          <w:color w:val="1E293B"/>
          <w:sz w:val="21"/>
        </w:rPr>
        <w:t>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Comparación criptográfica en tiempo constante con </w:t>
      </w:r>
      <w:r>
        <w:rPr>
          <w:rFonts w:ascii="Consolas" w:hAnsi="Consolas"/>
          <w:color w:val="0284C7"/>
          <w:sz w:val="20"/>
        </w:rPr>
        <w:t>crypto.timingSafeEqual</w:t>
      </w:r>
      <w:r>
        <w:rPr>
          <w:rFonts w:ascii="Calibri" w:hAnsi="Calibri"/>
          <w:color w:val="1E293B"/>
          <w:sz w:val="21"/>
        </w:rPr>
        <w:t xml:space="preserve"> para todas las validaciones de contraseñas.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2.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Limitador de Tasa de Peticiones (</w:t>
      </w:r>
      <w:r>
        <w:rPr>
          <w:rFonts w:ascii="Consolas" w:hAnsi="Consolas"/>
          <w:color w:val="0284C7"/>
          <w:sz w:val="20"/>
        </w:rPr>
        <w:t>checkRateLimit</w:t>
      </w:r>
      <w:r>
        <w:rPr>
          <w:rFonts w:ascii="Calibri" w:hAnsi="Calibri"/>
          <w:color w:val="1E293B"/>
          <w:sz w:val="21"/>
        </w:rPr>
        <w:t>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Limitador de ventana deslizante por IP (máximo 20 peticiones/minuto en endpoints administrativos).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3.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Sanitización XSS (</w:t>
      </w:r>
      <w:r>
        <w:rPr>
          <w:rFonts w:ascii="Consolas" w:hAnsi="Consolas"/>
          <w:color w:val="0284C7"/>
          <w:sz w:val="20"/>
        </w:rPr>
        <w:t>escapeHtml</w:t>
      </w:r>
      <w:r>
        <w:rPr>
          <w:rFonts w:ascii="Calibri" w:hAnsi="Calibri"/>
          <w:color w:val="1E293B"/>
          <w:sz w:val="21"/>
        </w:rPr>
        <w:t>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Escape estricto de entidades HTML en todas las entradas de usuario y reportes.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4.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Protección contra SSRF (</w:t>
      </w:r>
      <w:r>
        <w:rPr>
          <w:rFonts w:ascii="Consolas" w:hAnsi="Consolas"/>
          <w:color w:val="0284C7"/>
          <w:sz w:val="20"/>
        </w:rPr>
        <w:t>isSafePublicUrl</w:t>
      </w:r>
      <w:r>
        <w:rPr>
          <w:rFonts w:ascii="Calibri" w:hAnsi="Calibri"/>
          <w:color w:val="1E293B"/>
          <w:sz w:val="21"/>
        </w:rPr>
        <w:t>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Validación estricta que bloquea IPs privadas (RFC 1918), localhost y metadatos de nube (</w:t>
      </w:r>
      <w:r>
        <w:rPr>
          <w:rFonts w:ascii="Consolas" w:hAnsi="Consolas"/>
          <w:color w:val="0284C7"/>
          <w:sz w:val="20"/>
        </w:rPr>
        <w:t>169.254.169.254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B. Verificación Criptográfica de Webhooks de Pago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Todo webhook entrante de Stripe (</w:t>
      </w:r>
      <w:r>
        <w:rPr>
          <w:rFonts w:ascii="Consolas" w:hAnsi="Consolas"/>
          <w:color w:val="0284C7"/>
          <w:sz w:val="20"/>
        </w:rPr>
        <w:t>api/webhook.js</w:t>
      </w:r>
      <w:r>
        <w:rPr>
          <w:rFonts w:ascii="Calibri" w:hAnsi="Calibri"/>
          <w:color w:val="1E293B"/>
          <w:sz w:val="21"/>
        </w:rPr>
        <w:t xml:space="preserve">) debe verificar obligatoriamente la firma </w:t>
      </w:r>
      <w:r>
        <w:rPr>
          <w:rFonts w:ascii="Consolas" w:hAnsi="Consolas"/>
          <w:color w:val="0284C7"/>
          <w:sz w:val="20"/>
        </w:rPr>
        <w:t>stripe-signature</w:t>
      </w:r>
      <w:r>
        <w:rPr>
          <w:rFonts w:ascii="Calibri" w:hAnsi="Calibri"/>
          <w:color w:val="1E293B"/>
          <w:sz w:val="21"/>
        </w:rPr>
        <w:t xml:space="preserve"> mediante </w:t>
      </w:r>
      <w:r>
        <w:rPr>
          <w:rFonts w:ascii="Consolas" w:hAnsi="Consolas"/>
          <w:color w:val="0284C7"/>
          <w:sz w:val="20"/>
        </w:rPr>
        <w:t>stripe.webhooks.constructEvent()</w:t>
      </w:r>
      <w:r>
        <w:rPr>
          <w:rFonts w:ascii="Calibri" w:hAnsi="Calibri"/>
          <w:color w:val="1E293B"/>
          <w:sz w:val="21"/>
        </w:rPr>
        <w:t xml:space="preserve"> antes de ejecutar cualquier desbloqueo o entrega.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C. Blindaje contra Prompt Injection en LLMs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Todo texto de usuario o contrato analizado por Gemini 2.5 Flash debe aislarse dentro de delimitadores `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...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, con directivas de sistema (</w:t>
      </w:r>
      <w:r>
        <w:rPr>
          <w:rFonts w:ascii="Calibri" w:hAnsi="Calibri"/>
          <w:color w:val="1E293B"/>
          <w:sz w:val="21"/>
        </w:rPr>
        <w:t>systemInstruction`) que ordenan tratar el contenido como texto plano no ejecutable.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D. Cabeceras HTTP de Seguridad Bancarias ([</w:t>
      </w:r>
      <w:r>
        <w:rPr>
          <w:rFonts w:ascii="Consolas" w:hAnsi="Consolas"/>
          <w:color w:val="0284C7"/>
          <w:sz w:val="20"/>
        </w:rPr>
        <w:t>vercel.json</w:t>
      </w:r>
      <w:r>
        <w:rPr>
          <w:rFonts w:ascii="Calibri" w:hAnsi="Calibri"/>
          <w:color w:val="1E293B"/>
          <w:sz w:val="21"/>
        </w:rPr>
        <w:t>](vercel.json))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Content-Security-Policy</w:t>
      </w:r>
      <w:r>
        <w:rPr>
          <w:rFonts w:ascii="Calibri" w:hAnsi="Calibri"/>
          <w:color w:val="1E293B"/>
          <w:sz w:val="21"/>
        </w:rPr>
        <w:t>: Restricción de scripts exclusivamente a fuentes seguras autorizadas.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Strict-Transport-Security: max-age=63072000; includeSubDomains; preload</w:t>
      </w:r>
      <w:r>
        <w:rPr>
          <w:rFonts w:ascii="Calibri" w:hAnsi="Calibri"/>
          <w:color w:val="1E293B"/>
          <w:sz w:val="21"/>
        </w:rPr>
        <w:t xml:space="preserve"> (HSTS forzado a 2 años).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X-Frame-Options: DENY</w:t>
      </w:r>
      <w:r>
        <w:rPr>
          <w:rFonts w:ascii="Calibri" w:hAnsi="Calibri"/>
          <w:color w:val="1E293B"/>
          <w:sz w:val="21"/>
        </w:rPr>
        <w:t xml:space="preserve"> (inmunidad total contra Clickjacking).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X-Content-Type-Options: nosniff</w:t>
      </w:r>
      <w:r>
        <w:rPr>
          <w:rFonts w:ascii="Calibri" w:hAnsi="Calibri"/>
          <w:color w:val="1E293B"/>
          <w:sz w:val="21"/>
        </w:rPr>
        <w:t xml:space="preserve"> (bloqueo de MIME-sniffing).</w:t>
      </w:r>
    </w:p>
    <w:p>
      <w:pPr>
        <w:spacing w:before="40" w:after="80" w:line="276" w:lineRule="auto"/>
      </w:pPr>
      <w:r>
        <w:rPr>
          <w:rFonts w:ascii="Consolas" w:hAnsi="Consolas"/>
          <w:color w:val="0284C7"/>
          <w:sz w:val="20"/>
        </w:rPr>
        <w:t>Permissions-Policy: camera=(), microphone=(), geolocation=(), payment=(self)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🐞 10. ESTÁNDAR DE CONFIABILIDAD SRE, PREVENCIÓN DE CRASHES Y ZERO-BUGS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1.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Protección de Memoria Heap de V8: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Procesamiento de PDFs con </w:t>
      </w:r>
      <w:r>
        <w:rPr>
          <w:rFonts w:ascii="Consolas" w:hAnsi="Consolas"/>
          <w:color w:val="0284C7"/>
          <w:sz w:val="20"/>
        </w:rPr>
        <w:t>pdfParse(buffer, { max: 15 })</w:t>
      </w:r>
      <w:r>
        <w:rPr>
          <w:rFonts w:ascii="Calibri" w:hAnsi="Calibri"/>
          <w:color w:val="1E293B"/>
          <w:sz w:val="21"/>
        </w:rPr>
        <w:t xml:space="preserve"> y purga explícita de búferes en bloques </w:t>
      </w:r>
      <w:r>
        <w:rPr>
          <w:rFonts w:ascii="Consolas" w:hAnsi="Consolas"/>
          <w:color w:val="0284C7"/>
          <w:sz w:val="20"/>
        </w:rPr>
        <w:t>finally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284C7"/>
          <w:sz w:val="20"/>
        </w:rPr>
        <w:t>buffer = null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2.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Cero Cuelgues Asíncronos: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Toda lectura de archivos en cliente con </w:t>
      </w:r>
      <w:r>
        <w:rPr>
          <w:rFonts w:ascii="Consolas" w:hAnsi="Consolas"/>
          <w:color w:val="0284C7"/>
          <w:sz w:val="20"/>
        </w:rPr>
        <w:t>FileReader</w:t>
      </w:r>
      <w:r>
        <w:rPr>
          <w:rFonts w:ascii="Calibri" w:hAnsi="Calibri"/>
          <w:color w:val="1E293B"/>
          <w:sz w:val="21"/>
        </w:rPr>
        <w:t xml:space="preserve"> debe incluir manejadores explícitos </w:t>
      </w:r>
      <w:r>
        <w:rPr>
          <w:rFonts w:ascii="Consolas" w:hAnsi="Consolas"/>
          <w:color w:val="0284C7"/>
          <w:sz w:val="20"/>
        </w:rPr>
        <w:t>onerror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onabort</w:t>
      </w:r>
      <w:r>
        <w:rPr>
          <w:rFonts w:ascii="Calibri" w:hAnsi="Calibri"/>
          <w:color w:val="1E293B"/>
          <w:sz w:val="21"/>
        </w:rPr>
        <w:t xml:space="preserve"> que rechacen la Promesa con un mensaje legible para el usuario.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3.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Erradicación de Rutas 404 en Polling: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Disponibilidad del endpoint </w:t>
      </w:r>
      <w:r>
        <w:rPr>
          <w:rFonts w:ascii="Consolas" w:hAnsi="Consolas"/>
          <w:color w:val="0284C7"/>
          <w:sz w:val="20"/>
        </w:rPr>
        <w:t>/api/report</w:t>
      </w:r>
      <w:r>
        <w:rPr>
          <w:rFonts w:ascii="Calibri" w:hAnsi="Calibri"/>
          <w:color w:val="1E293B"/>
          <w:sz w:val="21"/>
        </w:rPr>
        <w:t xml:space="preserve"> para responder al estado de desbloqueo de reportes con código </w:t>
      </w:r>
      <w:r>
        <w:rPr>
          <w:rFonts w:ascii="Consolas" w:hAnsi="Consolas"/>
          <w:color w:val="0284C7"/>
          <w:sz w:val="20"/>
        </w:rPr>
        <w:t>200 OK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4.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Cero Fugas de Temporizadores: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Destrucción preventiva de intervalos activos (</w:t>
      </w:r>
      <w:r>
        <w:rPr>
          <w:rFonts w:ascii="Consolas" w:hAnsi="Consolas"/>
          <w:color w:val="0284C7"/>
          <w:sz w:val="20"/>
        </w:rPr>
        <w:t>clearPollingAndTimers()</w:t>
      </w:r>
      <w:r>
        <w:rPr>
          <w:rFonts w:ascii="Calibri" w:hAnsi="Calibri"/>
          <w:color w:val="1E293B"/>
          <w:sz w:val="21"/>
        </w:rPr>
        <w:t>) antes de instanciar nuevos contadores en pasarelas de pago.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5.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Timeouts Defensivos en APIs Externas: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Todas las llamadas </w:t>
      </w:r>
      <w:r>
        <w:rPr>
          <w:rFonts w:ascii="Consolas" w:hAnsi="Consolas"/>
          <w:color w:val="0284C7"/>
          <w:sz w:val="20"/>
        </w:rPr>
        <w:t>fetch()</w:t>
      </w:r>
      <w:r>
        <w:rPr>
          <w:rFonts w:ascii="Calibri" w:hAnsi="Calibri"/>
          <w:color w:val="1E293B"/>
          <w:sz w:val="21"/>
        </w:rPr>
        <w:t xml:space="preserve"> hacia servicios de terceros (Gemini, CoinGecko, Resend) deben incorporar </w:t>
      </w:r>
      <w:r>
        <w:rPr>
          <w:rFonts w:ascii="Consolas" w:hAnsi="Consolas"/>
          <w:color w:val="0284C7"/>
          <w:sz w:val="20"/>
        </w:rPr>
        <w:t>signal: AbortSignal.timeout(8000)</w:t>
      </w:r>
      <w:r>
        <w:rPr>
          <w:rFonts w:ascii="Calibri" w:hAnsi="Calibri"/>
          <w:color w:val="1E293B"/>
          <w:sz w:val="21"/>
        </w:rPr>
        <w:t xml:space="preserve"> para evitar cuelgues </w:t>
      </w:r>
      <w:r>
        <w:rPr>
          <w:rFonts w:ascii="Calibri" w:hAnsi="Calibri"/>
          <w:i/>
          <w:color w:val="1E293B"/>
          <w:sz w:val="21"/>
        </w:rPr>
        <w:t>504 Gateway Timeout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© 2026 AuditFlow AI • Documento Oficial de Arquitectura y Estrategia B2B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Documento Confidencial de Arquitectura — Uso Exclusivo AuditFlow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AUDITFLOW AI • SYSTEM ARCHITECTURE &amp; MASTER PROMPT (SSOT)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