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B981"/>
          <w:sz w:val="20"/>
        </w:rPr>
        <w:t>🛡️ AUDITFLOW AI • INFORME FORENSE &amp; REDLINE EJECUTIVO (WORD NATIVO)</w:t>
        <w:br/>
      </w:r>
      <w:r>
        <w:rPr>
          <w:b/>
          <w:color w:val="0F172A"/>
          <w:sz w:val="36"/>
        </w:rPr>
        <w:t>Auditoría Forense de Contrato Marco de Suministro B2B</w:t>
      </w:r>
    </w:p>
    <w:p>
      <w:pPr>
        <w:spacing w:after="280"/>
      </w:pPr>
      <w:r>
        <w:rPr>
          <w:i/>
        </w:rPr>
        <w:t>Procesado en memoria RAM volátil • Cumplimiento SOC2 y GDPR • Cero persistencia en disco</w:t>
        <w:br/>
      </w:r>
      <w:r>
        <w:rPr>
          <w:b/>
        </w:rPr>
        <w:t xml:space="preserve">Dictamen: </w:t>
      </w:r>
      <w:r>
        <w:rPr>
          <w:b/>
          <w:color w:val="DC2626"/>
        </w:rPr>
        <w:t>ALTO RIESGO MITIGADO — 4 CLÁUSULAS TRAMPA DETECTADAS</w:t>
      </w:r>
    </w:p>
    <w:tbl>
      <w:tblPr>
        <w:tblW w:type="auto" w:w="0"/>
        <w:jc w:val="center"/>
        <w:tblLayout w:type="fixed"/>
        <w:tblLook w:firstColumn="1" w:firstRow="1" w:lastColumn="0" w:lastRow="0" w:noHBand="0" w:noVBand="1" w:val="04A0"/>
      </w:tblPr>
      <w:tblGrid>
        <w:gridCol w:w="4968"/>
        <w:gridCol w:w="4968"/>
      </w:tblGrid>
      <w:tr>
        <w:tc>
          <w:tcPr>
            <w:tcW w:type="dxa" w:w="3600"/>
          </w:tcPr>
          <w:p>
            <w:pPr>
              <w:spacing w:before="80" w:after="80"/>
            </w:pPr>
            <w:r>
              <w:rPr>
                <w:b/>
                <w:sz w:val="19"/>
              </w:rPr>
              <w:t>Documento Analizado:</w:t>
            </w:r>
          </w:p>
        </w:tc>
        <w:tc>
          <w:tcPr>
            <w:tcW w:type="dxa" w:w="6048"/>
          </w:tcPr>
          <w:p>
            <w:pPr>
              <w:spacing w:before="80" w:after="80"/>
            </w:pPr>
            <w:r>
              <w:rPr>
                <w:sz w:val="19"/>
              </w:rPr>
              <w:t>Contrato Marco de Proveedor Tecnológico y Logística</w:t>
            </w:r>
          </w:p>
        </w:tc>
      </w:tr>
      <w:tr>
        <w:tc>
          <w:tcPr>
            <w:tcW w:type="dxa" w:w="3600"/>
          </w:tcPr>
          <w:p>
            <w:pPr>
              <w:spacing w:before="80" w:after="80"/>
            </w:pPr>
            <w:r>
              <w:rPr>
                <w:b/>
                <w:sz w:val="19"/>
              </w:rPr>
              <w:t>Riesgo Económico Detectado:</w:t>
            </w:r>
          </w:p>
        </w:tc>
        <w:tc>
          <w:tcPr>
            <w:tcW w:type="dxa" w:w="6048"/>
          </w:tcPr>
          <w:p>
            <w:pPr>
              <w:spacing w:before="80" w:after="80"/>
            </w:pPr>
            <w:r>
              <w:rPr>
                <w:b/>
                <w:color w:val="DC2626"/>
                <w:sz w:val="19"/>
              </w:rPr>
              <w:t>$24,500.00 USD en penalidades ocultas y sobrecostos</w:t>
            </w:r>
          </w:p>
        </w:tc>
      </w:tr>
      <w:tr>
        <w:tc>
          <w:tcPr>
            <w:tcW w:type="dxa" w:w="3600"/>
          </w:tcPr>
          <w:p>
            <w:pPr>
              <w:spacing w:before="80" w:after="80"/>
            </w:pPr>
            <w:r>
              <w:rPr>
                <w:b/>
                <w:sz w:val="19"/>
              </w:rPr>
              <w:t>Tiempo de Procesamiento:</w:t>
            </w:r>
          </w:p>
        </w:tc>
        <w:tc>
          <w:tcPr>
            <w:tcW w:type="dxa" w:w="6048"/>
          </w:tcPr>
          <w:p>
            <w:pPr>
              <w:spacing w:before="80" w:after="80"/>
            </w:pPr>
            <w:r>
              <w:rPr>
                <w:sz w:val="19"/>
              </w:rPr>
              <w:t>8.4 Segundos (Motor Autónomo AuditFlow AI)</w:t>
            </w:r>
          </w:p>
        </w:tc>
      </w:tr>
      <w:tr>
        <w:tc>
          <w:tcPr>
            <w:tcW w:type="dxa" w:w="3600"/>
          </w:tcPr>
          <w:p>
            <w:pPr>
              <w:spacing w:before="80" w:after="80"/>
            </w:pPr>
            <w:r>
              <w:rPr>
                <w:b/>
                <w:sz w:val="19"/>
              </w:rPr>
              <w:t>Retorno de Inversión (ROI):</w:t>
            </w:r>
          </w:p>
        </w:tc>
        <w:tc>
          <w:tcPr>
            <w:tcW w:type="dxa" w:w="6048"/>
          </w:tcPr>
          <w:p>
            <w:pPr>
              <w:spacing w:before="80" w:after="80"/>
            </w:pPr>
            <w:r>
              <w:rPr>
                <w:b/>
                <w:color w:val="16A34A"/>
                <w:sz w:val="19"/>
              </w:rPr>
              <w:t>1,289x (Costo auditoría $19.00 USD vs $24,500 evitados)</w:t>
            </w:r>
          </w:p>
        </w:tc>
      </w:tr>
    </w:tbl>
    <w:p>
      <w:pPr>
        <w:spacing w:after="240"/>
      </w:pPr>
    </w:p>
    <w:p>
      <w:pPr>
        <w:pStyle w:val="Heading1"/>
      </w:pPr>
      <w:r>
        <w:rPr>
          <w:color w:val="0F172A"/>
          <w:sz w:val="26"/>
        </w:rPr>
        <w:t>1. Control de Cambios y Redlines de Negociación (Track Changes)</w:t>
      </w:r>
    </w:p>
    <w:p>
      <w:pPr>
        <w:spacing w:after="200"/>
      </w:pPr>
      <w:r>
        <w:t>A continuación se detallan las cláusulas abusivas tachadas en rojo y las contrapropuestas blindadas sugeridas en verde, listas para remitir a la contraparte:</w:t>
      </w:r>
    </w:p>
    <w:p>
      <w:r>
        <w:rPr>
          <w:b/>
          <w:sz w:val="21"/>
        </w:rPr>
        <w:t>CLÁUSULA QUINTA: PRECIOS E INDEXACIÓN ANUAL</w:t>
        <w:br/>
      </w:r>
      <w:r>
        <w:rPr>
          <w:strike/>
          <w:color w:val="DC2626"/>
        </w:rPr>
        <w:t>"El Proveedor se reserva el derecho de incrementar unilateralmente las tarifas vigentes hasta en un 15% anual al inicio de cada año fiscal, sin necesidad de notificación previa ni consentimiento por escrito del Cliente."</w:t>
        <w:br/>
      </w:r>
      <w:r>
        <w:rPr>
          <w:b/>
          <w:color w:val="16A34A"/>
        </w:rPr>
        <w:t>→ PROPUESTA BLINDADA (AUDITFLOW AI):</w:t>
        <w:br/>
        <w:t>"Cualquier ajuste de tarifas no podrá superar el Índice de Precios al Consumidor oficial acumulado en los doce meses anteriores, requerirá un preaviso formal por escrito de al menos sesenta (60) días de anticipación y estará sujeto a la aprobación expresa del Cliente. En caso de discrepancia, el Cliente conservará el derecho de rescindir el contrato sin penalización alguna."</w:t>
        <w:br/>
      </w:r>
    </w:p>
    <w:p>
      <w:r>
        <w:rPr>
          <w:b/>
          <w:sz w:val="21"/>
        </w:rPr>
        <w:t>CLÁUSULA NOVENA: PENALIDAD MORATORIA Y RETENCIÓN</w:t>
        <w:br/>
      </w:r>
      <w:r>
        <w:rPr>
          <w:strike/>
          <w:color w:val="DC2626"/>
        </w:rPr>
        <w:t>"En caso de retraso en el pago superior a diez (10) días, se aplicará un interés moratorio del 5% mensual no prorrateable, facultando al Proveedor a suspender de inmediato el suministro e incautar depósitos en garantía sin intervención judicial."</w:t>
        <w:br/>
      </w:r>
      <w:r>
        <w:rPr>
          <w:b/>
          <w:color w:val="16A34A"/>
        </w:rPr>
        <w:t>→ PROPUESTA BLINDADA (AUDITFLOW AI):</w:t>
        <w:br/>
        <w:t>"En caso de demora injustificada superior a treinta (30) días tras requerimiento formal por escrito, el interés moratorio no excederá la tasa máxima legal mercantil aplicable. El Proveedor no podrá suspender servicios críticos operativos sin conceder previamente un periodo de subsanación de quince (15) días hábiles."</w:t>
        <w:br/>
      </w:r>
    </w:p>
    <w:p>
      <w:pPr>
        <w:pStyle w:val="Heading1"/>
      </w:pPr>
      <w:r>
        <w:rPr>
          <w:color w:val="0F172A"/>
          <w:sz w:val="26"/>
        </w:rPr>
        <w:t>2. Escudo de Cláusulas Omitidas (Protección Fiduciaria)</w:t>
      </w:r>
    </w:p>
    <w:p>
      <w:r>
        <w:rPr>
          <w:b/>
        </w:rPr>
        <w:t xml:space="preserve">• Tope de Responsabilidad Mutua (Mutual Liability Cap): </w:t>
      </w:r>
      <w:r>
        <w:t>El borrador original obligaba al Cliente a indemnización ilimitada mientras el Proveedor se eximía de todo daño indirecto. Se incorporó cláusula de limitación recíproca al valor de los últimos 12 meses facturados.</w:t>
        <w:br/>
      </w:r>
    </w:p>
    <w:p>
      <w:r>
        <w:rPr>
          <w:b/>
        </w:rPr>
        <w:t xml:space="preserve">• Cláusula Anti-Paro y Continuidad Operativa: </w:t>
      </w:r>
      <w:r>
        <w:t>Se incorporó la prohibición expresa de que el Proveedor congele inventarios o retenga suministros durante la resolución de disputas de facturación.</w:t>
        <w:br/>
      </w:r>
    </w:p>
    <w:p>
      <w:pPr>
        <w:spacing w:before="400"/>
      </w:pPr>
      <w:r>
        <w:rPr>
          <w:color w:val="64748B"/>
          <w:sz w:val="17"/>
        </w:rPr>
        <w:t>Documento generado automáticamente por AuditFlow AI (https://audiflowai.com) • Prueba de Autoridad Fiduciaria para Sector Medio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