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95BFB" w14:textId="680517D5" w:rsidR="00912DC3" w:rsidRPr="00B33BD0" w:rsidRDefault="0015575D" w:rsidP="00E50195">
      <w:pPr>
        <w:jc w:val="both"/>
        <w:rPr>
          <w:rFonts w:ascii="Calibri" w:hAnsi="Calibri" w:cs="Calibri"/>
          <w:sz w:val="16"/>
          <w:szCs w:val="16"/>
        </w:rPr>
      </w:pPr>
      <w:r w:rsidRPr="00B33BD0">
        <w:rPr>
          <w:rFonts w:ascii="Calibri" w:hAnsi="Calibri" w:cs="Calibri"/>
          <w:b/>
          <w:bCs/>
          <w:sz w:val="16"/>
          <w:szCs w:val="16"/>
        </w:rPr>
        <w:t>INFORME DE PRONÓSTICO DE SERIES DE TIEMPO</w:t>
      </w:r>
    </w:p>
    <w:p w14:paraId="269FCF80" w14:textId="77777777" w:rsidR="00FB46AE" w:rsidRPr="00B33BD0" w:rsidRDefault="00FB46AE" w:rsidP="00E50195">
      <w:pPr>
        <w:jc w:val="both"/>
        <w:rPr>
          <w:rFonts w:ascii="Calibri" w:hAnsi="Calibri" w:cs="Calibri"/>
          <w:sz w:val="16"/>
          <w:szCs w:val="16"/>
        </w:rPr>
      </w:pPr>
      <w:r w:rsidRPr="00E50195">
        <w:rPr>
          <w:rFonts w:ascii="Calibri" w:hAnsi="Calibri" w:cs="Calibri"/>
          <w:sz w:val="16"/>
          <w:szCs w:val="16"/>
        </w:rPr>
        <w:t xml:space="preserve">Empleo en las 13 principales ciudades de Colombia </w:t>
      </w:r>
      <w:r w:rsidRPr="00E50195">
        <w:rPr>
          <w:rFonts w:ascii="Calibri" w:hAnsi="Calibri" w:cs="Calibri"/>
          <w:b/>
          <w:bCs/>
          <w:sz w:val="16"/>
          <w:szCs w:val="16"/>
        </w:rPr>
        <w:t>Jefferson Martinez, Carlos Preciado y Ricardo Vargas</w:t>
      </w:r>
    </w:p>
    <w:p w14:paraId="5BE8326C" w14:textId="77777777" w:rsidR="00FB46AE" w:rsidRPr="00E50195" w:rsidRDefault="00FB46AE" w:rsidP="00E50195">
      <w:pPr>
        <w:jc w:val="both"/>
        <w:rPr>
          <w:rFonts w:ascii="Calibri" w:hAnsi="Calibri" w:cs="Calibri"/>
          <w:sz w:val="16"/>
          <w:szCs w:val="16"/>
        </w:rPr>
      </w:pPr>
      <w:r w:rsidRPr="00E50195">
        <w:rPr>
          <w:rFonts w:ascii="Calibri" w:hAnsi="Calibri" w:cs="Calibri"/>
          <w:sz w:val="16"/>
          <w:szCs w:val="16"/>
        </w:rPr>
        <w:t>El presente informe se basa en la serie histórica de personas ocupadas (en miles) de las 13 principales ciudades de Colombia, según datos de la GEIH del DANE. El período analizado va desde enero de 2001 hasta junio de 2019 (222 observaciones mensuales).</w:t>
      </w:r>
    </w:p>
    <w:p w14:paraId="75E339AA" w14:textId="77777777" w:rsidR="00FB46AE" w:rsidRPr="00E50195" w:rsidRDefault="00FB46AE" w:rsidP="00E50195">
      <w:pPr>
        <w:jc w:val="both"/>
        <w:rPr>
          <w:rFonts w:ascii="Calibri" w:hAnsi="Calibri" w:cs="Calibri"/>
          <w:sz w:val="16"/>
          <w:szCs w:val="16"/>
        </w:rPr>
      </w:pPr>
      <w:r w:rsidRPr="00E50195">
        <w:rPr>
          <w:rFonts w:ascii="Calibri" w:hAnsi="Calibri" w:cs="Calibri"/>
          <w:sz w:val="16"/>
          <w:szCs w:val="16"/>
        </w:rPr>
        <w:t>Se realizó una división temporal de los datos: conjunto de entrenamiento (enero 2001 - diciembre 2018, 216 observaciones) y conjunto de prueba (enero - junio 2019, 6 observaciones).</w:t>
      </w:r>
    </w:p>
    <w:p w14:paraId="4C7097DC" w14:textId="1AC2F9E2" w:rsidR="00E50195" w:rsidRPr="00B33BD0" w:rsidRDefault="00E50195" w:rsidP="00E50195">
      <w:pPr>
        <w:jc w:val="center"/>
        <w:rPr>
          <w:rFonts w:ascii="Calibri" w:hAnsi="Calibri" w:cs="Calibri"/>
          <w:sz w:val="16"/>
          <w:szCs w:val="16"/>
        </w:rPr>
      </w:pPr>
      <w:r w:rsidRPr="00E50195">
        <w:rPr>
          <w:rFonts w:ascii="Calibri" w:hAnsi="Calibri" w:cs="Calibri"/>
          <w:sz w:val="16"/>
          <w:szCs w:val="16"/>
        </w:rPr>
        <w:drawing>
          <wp:inline distT="0" distB="0" distL="0" distR="0" wp14:anchorId="5AD5B17D" wp14:editId="2E802EF8">
            <wp:extent cx="2805433" cy="1409700"/>
            <wp:effectExtent l="0" t="0" r="0" b="0"/>
            <wp:docPr id="904405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05538" name=""/>
                    <pic:cNvPicPr/>
                  </pic:nvPicPr>
                  <pic:blipFill>
                    <a:blip r:embed="rId5"/>
                    <a:stretch>
                      <a:fillRect/>
                    </a:stretch>
                  </pic:blipFill>
                  <pic:spPr>
                    <a:xfrm>
                      <a:off x="0" y="0"/>
                      <a:ext cx="2810915" cy="1412455"/>
                    </a:xfrm>
                    <a:prstGeom prst="rect">
                      <a:avLst/>
                    </a:prstGeom>
                  </pic:spPr>
                </pic:pic>
              </a:graphicData>
            </a:graphic>
          </wp:inline>
        </w:drawing>
      </w:r>
    </w:p>
    <w:p w14:paraId="29282632" w14:textId="77777777" w:rsidR="00FB46AE" w:rsidRPr="00B33BD0" w:rsidRDefault="00FB46AE" w:rsidP="00E50195">
      <w:pPr>
        <w:jc w:val="both"/>
        <w:rPr>
          <w:rFonts w:ascii="Calibri" w:hAnsi="Calibri" w:cs="Calibri"/>
          <w:b/>
          <w:bCs/>
          <w:sz w:val="16"/>
          <w:szCs w:val="16"/>
        </w:rPr>
      </w:pPr>
      <w:r w:rsidRPr="00B33BD0">
        <w:rPr>
          <w:rFonts w:ascii="Calibri" w:hAnsi="Calibri" w:cs="Calibri"/>
          <w:b/>
          <w:bCs/>
          <w:sz w:val="16"/>
          <w:szCs w:val="16"/>
        </w:rPr>
        <w:t>Evaluación de Modelos de Media Móvil (</w:t>
      </w:r>
      <w:proofErr w:type="spellStart"/>
      <w:r w:rsidRPr="00B33BD0">
        <w:rPr>
          <w:rFonts w:ascii="Calibri" w:hAnsi="Calibri" w:cs="Calibri"/>
          <w:b/>
          <w:bCs/>
          <w:sz w:val="16"/>
          <w:szCs w:val="16"/>
        </w:rPr>
        <w:t>Moving</w:t>
      </w:r>
      <w:proofErr w:type="spellEnd"/>
      <w:r w:rsidRPr="00B33BD0">
        <w:rPr>
          <w:rFonts w:ascii="Calibri" w:hAnsi="Calibri" w:cs="Calibri"/>
          <w:b/>
          <w:bCs/>
          <w:sz w:val="16"/>
          <w:szCs w:val="16"/>
        </w:rPr>
        <w:t xml:space="preserve"> </w:t>
      </w:r>
      <w:proofErr w:type="spellStart"/>
      <w:r w:rsidRPr="00B33BD0">
        <w:rPr>
          <w:rFonts w:ascii="Calibri" w:hAnsi="Calibri" w:cs="Calibri"/>
          <w:b/>
          <w:bCs/>
          <w:sz w:val="16"/>
          <w:szCs w:val="16"/>
        </w:rPr>
        <w:t>Average</w:t>
      </w:r>
      <w:proofErr w:type="spellEnd"/>
      <w:r w:rsidRPr="00B33BD0">
        <w:rPr>
          <w:rFonts w:ascii="Calibri" w:hAnsi="Calibri" w:cs="Calibri"/>
          <w:b/>
          <w:bCs/>
          <w:sz w:val="16"/>
          <w:szCs w:val="16"/>
        </w:rPr>
        <w:t>)</w:t>
      </w:r>
    </w:p>
    <w:p w14:paraId="044E1453" w14:textId="77777777" w:rsidR="00FB46AE" w:rsidRPr="00E50195" w:rsidRDefault="00FB46AE" w:rsidP="00E50195">
      <w:pPr>
        <w:jc w:val="both"/>
        <w:rPr>
          <w:rFonts w:ascii="Calibri" w:hAnsi="Calibri" w:cs="Calibri"/>
          <w:sz w:val="16"/>
          <w:szCs w:val="16"/>
        </w:rPr>
      </w:pPr>
      <w:r w:rsidRPr="00E50195">
        <w:rPr>
          <w:rFonts w:ascii="Calibri" w:hAnsi="Calibri" w:cs="Calibri"/>
          <w:sz w:val="16"/>
          <w:szCs w:val="16"/>
        </w:rPr>
        <w:t>Se probaron diferentes ventanas de tiempo (órdenes) para identificar el mejor modelo de Promedio Móvil según su capacidad predictiva:</w:t>
      </w:r>
    </w:p>
    <w:tbl>
      <w:tblPr>
        <w:tblStyle w:val="Tablaconcuadrcula"/>
        <w:tblW w:w="0" w:type="auto"/>
        <w:jc w:val="center"/>
        <w:tblLook w:val="04A0" w:firstRow="1" w:lastRow="0" w:firstColumn="1" w:lastColumn="0" w:noHBand="0" w:noVBand="1"/>
      </w:tblPr>
      <w:tblGrid>
        <w:gridCol w:w="617"/>
        <w:gridCol w:w="1821"/>
        <w:gridCol w:w="553"/>
        <w:gridCol w:w="928"/>
      </w:tblGrid>
      <w:tr w:rsidR="00FB46AE" w:rsidRPr="00E50195" w14:paraId="15063203" w14:textId="77777777" w:rsidTr="00B33BD0">
        <w:trPr>
          <w:jc w:val="center"/>
        </w:trPr>
        <w:tc>
          <w:tcPr>
            <w:tcW w:w="0" w:type="auto"/>
            <w:hideMark/>
          </w:tcPr>
          <w:p w14:paraId="426E648E"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Ventana</w:t>
            </w:r>
          </w:p>
        </w:tc>
        <w:tc>
          <w:tcPr>
            <w:tcW w:w="0" w:type="auto"/>
            <w:hideMark/>
          </w:tcPr>
          <w:p w14:paraId="20148277"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Descripción</w:t>
            </w:r>
          </w:p>
        </w:tc>
        <w:tc>
          <w:tcPr>
            <w:tcW w:w="0" w:type="auto"/>
            <w:hideMark/>
          </w:tcPr>
          <w:p w14:paraId="4DDDD1C4" w14:textId="0E99DA0A"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RMSE</w:t>
            </w:r>
          </w:p>
        </w:tc>
        <w:tc>
          <w:tcPr>
            <w:tcW w:w="0" w:type="auto"/>
            <w:hideMark/>
          </w:tcPr>
          <w:p w14:paraId="51C5316E"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Observación</w:t>
            </w:r>
          </w:p>
        </w:tc>
      </w:tr>
      <w:tr w:rsidR="00FB46AE" w:rsidRPr="00E50195" w14:paraId="7305C6F2" w14:textId="77777777" w:rsidTr="00B33BD0">
        <w:trPr>
          <w:jc w:val="center"/>
        </w:trPr>
        <w:tc>
          <w:tcPr>
            <w:tcW w:w="0" w:type="auto"/>
            <w:hideMark/>
          </w:tcPr>
          <w:p w14:paraId="29B969E5"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b/>
                <w:bCs/>
                <w:sz w:val="12"/>
                <w:szCs w:val="12"/>
              </w:rPr>
              <w:t>2</w:t>
            </w:r>
          </w:p>
        </w:tc>
        <w:tc>
          <w:tcPr>
            <w:tcW w:w="0" w:type="auto"/>
            <w:hideMark/>
          </w:tcPr>
          <w:p w14:paraId="492030A3"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Promedio de los últimos 2 meses</w:t>
            </w:r>
          </w:p>
        </w:tc>
        <w:tc>
          <w:tcPr>
            <w:tcW w:w="0" w:type="auto"/>
            <w:hideMark/>
          </w:tcPr>
          <w:p w14:paraId="72F6AAC3"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b/>
                <w:bCs/>
                <w:sz w:val="12"/>
                <w:szCs w:val="12"/>
              </w:rPr>
              <w:t>242.83</w:t>
            </w:r>
          </w:p>
        </w:tc>
        <w:tc>
          <w:tcPr>
            <w:tcW w:w="0" w:type="auto"/>
            <w:hideMark/>
          </w:tcPr>
          <w:p w14:paraId="7C01FAF7"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b/>
                <w:bCs/>
                <w:sz w:val="12"/>
                <w:szCs w:val="12"/>
              </w:rPr>
              <w:t>Mejor modelo</w:t>
            </w:r>
          </w:p>
        </w:tc>
      </w:tr>
      <w:tr w:rsidR="00FB46AE" w:rsidRPr="00E50195" w14:paraId="3459698D" w14:textId="77777777" w:rsidTr="00B33BD0">
        <w:trPr>
          <w:jc w:val="center"/>
        </w:trPr>
        <w:tc>
          <w:tcPr>
            <w:tcW w:w="0" w:type="auto"/>
            <w:hideMark/>
          </w:tcPr>
          <w:p w14:paraId="3FAE1D70"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3</w:t>
            </w:r>
          </w:p>
        </w:tc>
        <w:tc>
          <w:tcPr>
            <w:tcW w:w="0" w:type="auto"/>
            <w:hideMark/>
          </w:tcPr>
          <w:p w14:paraId="15AC1E58"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Promedio de los últimos 3 meses</w:t>
            </w:r>
          </w:p>
        </w:tc>
        <w:tc>
          <w:tcPr>
            <w:tcW w:w="0" w:type="auto"/>
            <w:hideMark/>
          </w:tcPr>
          <w:p w14:paraId="0714C27B"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250.37</w:t>
            </w:r>
          </w:p>
        </w:tc>
        <w:tc>
          <w:tcPr>
            <w:tcW w:w="0" w:type="auto"/>
            <w:hideMark/>
          </w:tcPr>
          <w:p w14:paraId="4275981D"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w:t>
            </w:r>
          </w:p>
        </w:tc>
      </w:tr>
      <w:tr w:rsidR="00FB46AE" w:rsidRPr="00E50195" w14:paraId="0F1FEFC8" w14:textId="77777777" w:rsidTr="00B33BD0">
        <w:trPr>
          <w:jc w:val="center"/>
        </w:trPr>
        <w:tc>
          <w:tcPr>
            <w:tcW w:w="0" w:type="auto"/>
            <w:hideMark/>
          </w:tcPr>
          <w:p w14:paraId="653317F8"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4</w:t>
            </w:r>
          </w:p>
        </w:tc>
        <w:tc>
          <w:tcPr>
            <w:tcW w:w="0" w:type="auto"/>
            <w:hideMark/>
          </w:tcPr>
          <w:p w14:paraId="742B6573"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Promedio de los últimos 4 meses</w:t>
            </w:r>
          </w:p>
        </w:tc>
        <w:tc>
          <w:tcPr>
            <w:tcW w:w="0" w:type="auto"/>
            <w:hideMark/>
          </w:tcPr>
          <w:p w14:paraId="3FDFDD3F"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270.62</w:t>
            </w:r>
          </w:p>
        </w:tc>
        <w:tc>
          <w:tcPr>
            <w:tcW w:w="0" w:type="auto"/>
            <w:hideMark/>
          </w:tcPr>
          <w:p w14:paraId="0A378618"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w:t>
            </w:r>
          </w:p>
        </w:tc>
      </w:tr>
      <w:tr w:rsidR="00FB46AE" w:rsidRPr="00E50195" w14:paraId="4A28F94C" w14:textId="77777777" w:rsidTr="00B33BD0">
        <w:trPr>
          <w:jc w:val="center"/>
        </w:trPr>
        <w:tc>
          <w:tcPr>
            <w:tcW w:w="0" w:type="auto"/>
            <w:hideMark/>
          </w:tcPr>
          <w:p w14:paraId="573E93D0"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5</w:t>
            </w:r>
          </w:p>
        </w:tc>
        <w:tc>
          <w:tcPr>
            <w:tcW w:w="0" w:type="auto"/>
            <w:hideMark/>
          </w:tcPr>
          <w:p w14:paraId="16B96955"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Promedio de los últimos 5 meses</w:t>
            </w:r>
          </w:p>
        </w:tc>
        <w:tc>
          <w:tcPr>
            <w:tcW w:w="0" w:type="auto"/>
            <w:hideMark/>
          </w:tcPr>
          <w:p w14:paraId="620AA264"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266.52</w:t>
            </w:r>
          </w:p>
        </w:tc>
        <w:tc>
          <w:tcPr>
            <w:tcW w:w="0" w:type="auto"/>
            <w:hideMark/>
          </w:tcPr>
          <w:p w14:paraId="4D04BF3A"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w:t>
            </w:r>
          </w:p>
        </w:tc>
      </w:tr>
      <w:tr w:rsidR="00FB46AE" w:rsidRPr="00E50195" w14:paraId="6E0D0B7D" w14:textId="77777777" w:rsidTr="00B33BD0">
        <w:trPr>
          <w:jc w:val="center"/>
        </w:trPr>
        <w:tc>
          <w:tcPr>
            <w:tcW w:w="0" w:type="auto"/>
            <w:hideMark/>
          </w:tcPr>
          <w:p w14:paraId="20F0C1A9"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6</w:t>
            </w:r>
          </w:p>
        </w:tc>
        <w:tc>
          <w:tcPr>
            <w:tcW w:w="0" w:type="auto"/>
            <w:hideMark/>
          </w:tcPr>
          <w:p w14:paraId="4F423D32"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Promedio de los últimos 6 meses</w:t>
            </w:r>
          </w:p>
        </w:tc>
        <w:tc>
          <w:tcPr>
            <w:tcW w:w="0" w:type="auto"/>
            <w:hideMark/>
          </w:tcPr>
          <w:p w14:paraId="3B3287F9"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272.84</w:t>
            </w:r>
          </w:p>
        </w:tc>
        <w:tc>
          <w:tcPr>
            <w:tcW w:w="0" w:type="auto"/>
            <w:hideMark/>
          </w:tcPr>
          <w:p w14:paraId="1C972903" w14:textId="77777777" w:rsidR="00FB46AE" w:rsidRPr="00E50195" w:rsidRDefault="00FB46AE" w:rsidP="00E50195">
            <w:pPr>
              <w:spacing w:after="160" w:line="278" w:lineRule="auto"/>
              <w:jc w:val="both"/>
              <w:rPr>
                <w:rFonts w:ascii="Calibri" w:hAnsi="Calibri" w:cs="Calibri"/>
                <w:sz w:val="12"/>
                <w:szCs w:val="12"/>
              </w:rPr>
            </w:pPr>
            <w:r w:rsidRPr="00E50195">
              <w:rPr>
                <w:rFonts w:ascii="Calibri" w:hAnsi="Calibri" w:cs="Calibri"/>
                <w:sz w:val="12"/>
                <w:szCs w:val="12"/>
              </w:rPr>
              <w:t>-</w:t>
            </w:r>
          </w:p>
        </w:tc>
      </w:tr>
    </w:tbl>
    <w:p w14:paraId="057EAB7B" w14:textId="58CEC4A4" w:rsidR="00FB46AE" w:rsidRPr="00B33BD0" w:rsidRDefault="00FB46AE" w:rsidP="00E50195">
      <w:pPr>
        <w:jc w:val="both"/>
        <w:rPr>
          <w:rFonts w:ascii="Calibri" w:hAnsi="Calibri" w:cs="Calibri"/>
          <w:sz w:val="16"/>
          <w:szCs w:val="16"/>
        </w:rPr>
      </w:pPr>
      <w:r w:rsidRPr="00B33BD0">
        <w:rPr>
          <w:rFonts w:ascii="Calibri" w:hAnsi="Calibri" w:cs="Calibri"/>
          <w:sz w:val="16"/>
          <w:szCs w:val="16"/>
        </w:rPr>
        <w:t xml:space="preserve">El </w:t>
      </w:r>
      <w:r w:rsidRPr="00B33BD0">
        <w:rPr>
          <w:rFonts w:ascii="Calibri" w:hAnsi="Calibri" w:cs="Calibri"/>
          <w:b/>
          <w:bCs/>
          <w:sz w:val="16"/>
          <w:szCs w:val="16"/>
        </w:rPr>
        <w:t>modelo de Media Móvil con ventana de orden 2</w:t>
      </w:r>
      <w:r w:rsidRPr="00B33BD0">
        <w:rPr>
          <w:rFonts w:ascii="Calibri" w:hAnsi="Calibri" w:cs="Calibri"/>
          <w:sz w:val="16"/>
          <w:szCs w:val="16"/>
        </w:rPr>
        <w:t xml:space="preserve"> fue seleccionado como el mejor, al presentar el </w:t>
      </w:r>
      <w:r w:rsidRPr="00B33BD0">
        <w:rPr>
          <w:rFonts w:ascii="Calibri" w:hAnsi="Calibri" w:cs="Calibri"/>
          <w:b/>
          <w:bCs/>
          <w:sz w:val="16"/>
          <w:szCs w:val="16"/>
        </w:rPr>
        <w:t>menor RMSE</w:t>
      </w:r>
      <w:r w:rsidRPr="00B33BD0">
        <w:rPr>
          <w:rFonts w:ascii="Calibri" w:hAnsi="Calibri" w:cs="Calibri"/>
          <w:sz w:val="16"/>
          <w:szCs w:val="16"/>
        </w:rPr>
        <w:t xml:space="preserve"> (242.83) en el período de prueba. Esto indica que utilizar únicamente los dos últimos meses para pronosticar captura mejor el comportamiento reciente de la serie “Ocupados”.</w:t>
      </w:r>
    </w:p>
    <w:p w14:paraId="678544E7" w14:textId="20A021D4" w:rsidR="00FB46AE" w:rsidRPr="00B33BD0" w:rsidRDefault="00FB46AE" w:rsidP="00E50195">
      <w:pPr>
        <w:jc w:val="both"/>
        <w:rPr>
          <w:rFonts w:ascii="Calibri" w:hAnsi="Calibri" w:cs="Calibri"/>
          <w:b/>
          <w:bCs/>
          <w:sz w:val="16"/>
          <w:szCs w:val="16"/>
        </w:rPr>
      </w:pPr>
      <w:r w:rsidRPr="00B33BD0">
        <w:rPr>
          <w:rFonts w:ascii="Calibri" w:hAnsi="Calibri" w:cs="Calibri"/>
          <w:b/>
          <w:bCs/>
          <w:sz w:val="16"/>
          <w:szCs w:val="16"/>
        </w:rPr>
        <w:t>Pronóstico para los próximos 6 meses (julio - diciembre 2019</w:t>
      </w:r>
      <w:r w:rsidR="00B33BD0" w:rsidRPr="00B33BD0">
        <w:rPr>
          <w:rFonts w:ascii="Calibri" w:hAnsi="Calibri" w:cs="Calibri"/>
          <w:b/>
          <w:bCs/>
          <w:sz w:val="16"/>
          <w:szCs w:val="16"/>
        </w:rPr>
        <w:t>) de la serie Ocupados (miles):</w:t>
      </w:r>
    </w:p>
    <w:p w14:paraId="13CEFA5D" w14:textId="4EDF97DC" w:rsidR="00B33BD0" w:rsidRPr="00B33BD0" w:rsidRDefault="00B33BD0" w:rsidP="00E50195">
      <w:pPr>
        <w:jc w:val="both"/>
        <w:rPr>
          <w:rFonts w:ascii="Calibri" w:hAnsi="Calibri" w:cs="Calibri"/>
          <w:sz w:val="16"/>
          <w:szCs w:val="16"/>
        </w:rPr>
      </w:pPr>
      <w:r w:rsidRPr="00B33BD0">
        <w:rPr>
          <w:rFonts w:ascii="Calibri" w:hAnsi="Calibri" w:cs="Calibri"/>
          <w:sz w:val="16"/>
          <w:szCs w:val="16"/>
        </w:rPr>
        <w:t xml:space="preserve">Julio </w:t>
      </w:r>
      <w:r w:rsidRPr="00B33BD0">
        <w:rPr>
          <w:rFonts w:ascii="Calibri" w:hAnsi="Calibri" w:cs="Calibri"/>
          <w:sz w:val="16"/>
          <w:szCs w:val="16"/>
        </w:rPr>
        <w:t xml:space="preserve">fue </w:t>
      </w:r>
      <w:r w:rsidRPr="00B33BD0">
        <w:rPr>
          <w:rFonts w:ascii="Calibri" w:hAnsi="Calibri" w:cs="Calibri"/>
          <w:sz w:val="16"/>
          <w:szCs w:val="16"/>
        </w:rPr>
        <w:t>10.830,</w:t>
      </w:r>
      <w:r w:rsidRPr="00B33BD0">
        <w:rPr>
          <w:rFonts w:ascii="Calibri" w:hAnsi="Calibri" w:cs="Calibri"/>
          <w:sz w:val="16"/>
          <w:szCs w:val="16"/>
        </w:rPr>
        <w:t>50; Agosto</w:t>
      </w:r>
      <w:r w:rsidRPr="00B33BD0">
        <w:rPr>
          <w:rFonts w:ascii="Calibri" w:hAnsi="Calibri" w:cs="Calibri"/>
          <w:sz w:val="16"/>
          <w:szCs w:val="16"/>
        </w:rPr>
        <w:t xml:space="preserve"> </w:t>
      </w:r>
      <w:r w:rsidRPr="00B33BD0">
        <w:rPr>
          <w:rFonts w:ascii="Calibri" w:hAnsi="Calibri" w:cs="Calibri"/>
          <w:sz w:val="16"/>
          <w:szCs w:val="16"/>
        </w:rPr>
        <w:t xml:space="preserve">fue </w:t>
      </w:r>
      <w:r w:rsidRPr="00B33BD0">
        <w:rPr>
          <w:rFonts w:ascii="Calibri" w:hAnsi="Calibri" w:cs="Calibri"/>
          <w:sz w:val="16"/>
          <w:szCs w:val="16"/>
        </w:rPr>
        <w:t>10.839,25</w:t>
      </w:r>
      <w:r w:rsidRPr="00B33BD0">
        <w:rPr>
          <w:rFonts w:ascii="Calibri" w:hAnsi="Calibri" w:cs="Calibri"/>
          <w:sz w:val="16"/>
          <w:szCs w:val="16"/>
        </w:rPr>
        <w:t xml:space="preserve">; </w:t>
      </w:r>
      <w:r w:rsidRPr="00B33BD0">
        <w:rPr>
          <w:rFonts w:ascii="Calibri" w:hAnsi="Calibri" w:cs="Calibri"/>
          <w:sz w:val="16"/>
          <w:szCs w:val="16"/>
        </w:rPr>
        <w:t xml:space="preserve">Septiembre </w:t>
      </w:r>
      <w:r w:rsidRPr="00B33BD0">
        <w:rPr>
          <w:rFonts w:ascii="Calibri" w:hAnsi="Calibri" w:cs="Calibri"/>
          <w:sz w:val="16"/>
          <w:szCs w:val="16"/>
        </w:rPr>
        <w:t xml:space="preserve">fue </w:t>
      </w:r>
      <w:r w:rsidRPr="00B33BD0">
        <w:rPr>
          <w:rFonts w:ascii="Calibri" w:hAnsi="Calibri" w:cs="Calibri"/>
          <w:sz w:val="16"/>
          <w:szCs w:val="16"/>
        </w:rPr>
        <w:t>10.834,88</w:t>
      </w:r>
      <w:r w:rsidRPr="00B33BD0">
        <w:rPr>
          <w:rFonts w:ascii="Calibri" w:hAnsi="Calibri" w:cs="Calibri"/>
          <w:sz w:val="16"/>
          <w:szCs w:val="16"/>
        </w:rPr>
        <w:t xml:space="preserve">; Octubre fue </w:t>
      </w:r>
      <w:r w:rsidRPr="00B33BD0">
        <w:rPr>
          <w:rFonts w:ascii="Calibri" w:hAnsi="Calibri" w:cs="Calibri"/>
          <w:sz w:val="16"/>
          <w:szCs w:val="16"/>
        </w:rPr>
        <w:t>10.837,06</w:t>
      </w:r>
      <w:r w:rsidRPr="00B33BD0">
        <w:rPr>
          <w:rFonts w:ascii="Calibri" w:hAnsi="Calibri" w:cs="Calibri"/>
          <w:sz w:val="16"/>
          <w:szCs w:val="16"/>
        </w:rPr>
        <w:t xml:space="preserve"> y noviembre fue </w:t>
      </w:r>
      <w:r w:rsidRPr="00B33BD0">
        <w:rPr>
          <w:rFonts w:ascii="Calibri" w:hAnsi="Calibri" w:cs="Calibri"/>
          <w:sz w:val="16"/>
          <w:szCs w:val="16"/>
        </w:rPr>
        <w:t>10.837,06</w:t>
      </w:r>
    </w:p>
    <w:p w14:paraId="091175BE" w14:textId="535F0984" w:rsidR="00B33BD0" w:rsidRDefault="00B33BD0" w:rsidP="00E50195">
      <w:pPr>
        <w:jc w:val="center"/>
        <w:rPr>
          <w:rFonts w:ascii="Calibri" w:hAnsi="Calibri" w:cs="Calibri"/>
          <w:sz w:val="16"/>
          <w:szCs w:val="16"/>
        </w:rPr>
      </w:pPr>
      <w:r w:rsidRPr="00B33BD0">
        <w:rPr>
          <w:rFonts w:ascii="Calibri" w:hAnsi="Calibri" w:cs="Calibri"/>
          <w:sz w:val="16"/>
          <w:szCs w:val="16"/>
        </w:rPr>
        <w:drawing>
          <wp:inline distT="0" distB="0" distL="0" distR="0" wp14:anchorId="7FFCF0C1" wp14:editId="208574F8">
            <wp:extent cx="2981289" cy="1532811"/>
            <wp:effectExtent l="0" t="0" r="0" b="0"/>
            <wp:docPr id="1291762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62279" name=""/>
                    <pic:cNvPicPr/>
                  </pic:nvPicPr>
                  <pic:blipFill>
                    <a:blip r:embed="rId6"/>
                    <a:stretch>
                      <a:fillRect/>
                    </a:stretch>
                  </pic:blipFill>
                  <pic:spPr>
                    <a:xfrm>
                      <a:off x="0" y="0"/>
                      <a:ext cx="2999565" cy="1542207"/>
                    </a:xfrm>
                    <a:prstGeom prst="rect">
                      <a:avLst/>
                    </a:prstGeom>
                  </pic:spPr>
                </pic:pic>
              </a:graphicData>
            </a:graphic>
          </wp:inline>
        </w:drawing>
      </w:r>
    </w:p>
    <w:p w14:paraId="6D30BA00" w14:textId="77777777" w:rsidR="00E50195" w:rsidRPr="00E50195" w:rsidRDefault="00E50195" w:rsidP="00E50195">
      <w:pPr>
        <w:jc w:val="both"/>
        <w:rPr>
          <w:rFonts w:ascii="Calibri" w:hAnsi="Calibri" w:cs="Calibri"/>
          <w:sz w:val="16"/>
          <w:szCs w:val="16"/>
        </w:rPr>
      </w:pPr>
      <w:r w:rsidRPr="00E50195">
        <w:rPr>
          <w:rFonts w:ascii="Calibri" w:hAnsi="Calibri" w:cs="Calibri"/>
          <w:sz w:val="16"/>
          <w:szCs w:val="16"/>
        </w:rPr>
        <w:t>Como se observa en la gráfica, el modelo captura la estabilidad reciente, pero subestima la tendencia alcista del primer semestre de 2019, proyectando un nivel de ocupación prácticamente constante alrededor de los 10.836 mil ocupados.</w:t>
      </w:r>
    </w:p>
    <w:p w14:paraId="6527C61B" w14:textId="77777777" w:rsidR="00E50195" w:rsidRPr="00B33BD0" w:rsidRDefault="00E50195" w:rsidP="00E50195">
      <w:pPr>
        <w:jc w:val="both"/>
        <w:rPr>
          <w:rFonts w:ascii="Calibri" w:hAnsi="Calibri" w:cs="Calibri"/>
          <w:sz w:val="16"/>
          <w:szCs w:val="16"/>
        </w:rPr>
      </w:pPr>
    </w:p>
    <w:p w14:paraId="0C5403C8" w14:textId="77777777" w:rsidR="00E50195" w:rsidRPr="00E50195" w:rsidRDefault="00E50195" w:rsidP="00E50195">
      <w:pPr>
        <w:jc w:val="both"/>
        <w:rPr>
          <w:rFonts w:ascii="Calibri" w:hAnsi="Calibri" w:cs="Calibri"/>
          <w:sz w:val="16"/>
          <w:szCs w:val="16"/>
        </w:rPr>
      </w:pPr>
      <w:r w:rsidRPr="00E50195">
        <w:rPr>
          <w:rFonts w:ascii="Calibri" w:hAnsi="Calibri" w:cs="Calibri"/>
          <w:b/>
          <w:bCs/>
          <w:sz w:val="16"/>
          <w:szCs w:val="16"/>
        </w:rPr>
        <w:t xml:space="preserve">Limitaciones: </w:t>
      </w:r>
      <w:r w:rsidRPr="00E50195">
        <w:rPr>
          <w:rFonts w:ascii="Calibri" w:hAnsi="Calibri" w:cs="Calibri"/>
          <w:sz w:val="16"/>
          <w:szCs w:val="16"/>
        </w:rPr>
        <w:t>El Promedio Móvil es un método simple que no modela tendencia ni estacionalidad. Al ser recursivo, los errores se acumulan en el tiempo y no incorpora variables exógenas, limitando su capacidad ante cambios estructurales en el mercado laboral.</w:t>
      </w:r>
    </w:p>
    <w:p w14:paraId="48901C27" w14:textId="77777777" w:rsidR="003F15EC" w:rsidRPr="00E50195" w:rsidRDefault="003F15EC" w:rsidP="003F15EC">
      <w:pPr>
        <w:rPr>
          <w:sz w:val="16"/>
          <w:szCs w:val="16"/>
        </w:rPr>
      </w:pPr>
    </w:p>
    <w:sectPr w:rsidR="003F15EC" w:rsidRPr="00E5019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E6CAD"/>
    <w:multiLevelType w:val="hybridMultilevel"/>
    <w:tmpl w:val="E57090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417C7605"/>
    <w:multiLevelType w:val="multilevel"/>
    <w:tmpl w:val="DCF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E75D0F"/>
    <w:multiLevelType w:val="multilevel"/>
    <w:tmpl w:val="95A0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E27BB"/>
    <w:multiLevelType w:val="multilevel"/>
    <w:tmpl w:val="E856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33906">
    <w:abstractNumId w:val="1"/>
  </w:num>
  <w:num w:numId="2" w16cid:durableId="130023708">
    <w:abstractNumId w:val="3"/>
  </w:num>
  <w:num w:numId="3" w16cid:durableId="1983919728">
    <w:abstractNumId w:val="0"/>
  </w:num>
  <w:num w:numId="4" w16cid:durableId="19323462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5EC"/>
    <w:rsid w:val="0015575D"/>
    <w:rsid w:val="003F15EC"/>
    <w:rsid w:val="005561CF"/>
    <w:rsid w:val="00912DC3"/>
    <w:rsid w:val="009465D9"/>
    <w:rsid w:val="00A0553E"/>
    <w:rsid w:val="00B33BD0"/>
    <w:rsid w:val="00BE7241"/>
    <w:rsid w:val="00C8538F"/>
    <w:rsid w:val="00CA4A9D"/>
    <w:rsid w:val="00D90B3C"/>
    <w:rsid w:val="00E50195"/>
    <w:rsid w:val="00FB46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5A864"/>
  <w15:chartTrackingRefBased/>
  <w15:docId w15:val="{A1D59EC7-B69B-476C-84B9-FFB04A551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1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1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15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15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5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5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5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5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5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5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15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15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15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5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5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5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5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5EC"/>
    <w:rPr>
      <w:rFonts w:eastAsiaTheme="majorEastAsia" w:cstheme="majorBidi"/>
      <w:color w:val="272727" w:themeColor="text1" w:themeTint="D8"/>
    </w:rPr>
  </w:style>
  <w:style w:type="paragraph" w:styleId="Ttulo">
    <w:name w:val="Title"/>
    <w:basedOn w:val="Normal"/>
    <w:next w:val="Normal"/>
    <w:link w:val="TtuloCar"/>
    <w:uiPriority w:val="10"/>
    <w:qFormat/>
    <w:rsid w:val="003F1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5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5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5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5EC"/>
    <w:pPr>
      <w:spacing w:before="160"/>
      <w:jc w:val="center"/>
    </w:pPr>
    <w:rPr>
      <w:i/>
      <w:iCs/>
      <w:color w:val="404040" w:themeColor="text1" w:themeTint="BF"/>
    </w:rPr>
  </w:style>
  <w:style w:type="character" w:customStyle="1" w:styleId="CitaCar">
    <w:name w:val="Cita Car"/>
    <w:basedOn w:val="Fuentedeprrafopredeter"/>
    <w:link w:val="Cita"/>
    <w:uiPriority w:val="29"/>
    <w:rsid w:val="003F15EC"/>
    <w:rPr>
      <w:i/>
      <w:iCs/>
      <w:color w:val="404040" w:themeColor="text1" w:themeTint="BF"/>
    </w:rPr>
  </w:style>
  <w:style w:type="paragraph" w:styleId="Prrafodelista">
    <w:name w:val="List Paragraph"/>
    <w:basedOn w:val="Normal"/>
    <w:uiPriority w:val="34"/>
    <w:qFormat/>
    <w:rsid w:val="003F15EC"/>
    <w:pPr>
      <w:ind w:left="720"/>
      <w:contextualSpacing/>
    </w:pPr>
  </w:style>
  <w:style w:type="character" w:styleId="nfasisintenso">
    <w:name w:val="Intense Emphasis"/>
    <w:basedOn w:val="Fuentedeprrafopredeter"/>
    <w:uiPriority w:val="21"/>
    <w:qFormat/>
    <w:rsid w:val="003F15EC"/>
    <w:rPr>
      <w:i/>
      <w:iCs/>
      <w:color w:val="0F4761" w:themeColor="accent1" w:themeShade="BF"/>
    </w:rPr>
  </w:style>
  <w:style w:type="paragraph" w:styleId="Citadestacada">
    <w:name w:val="Intense Quote"/>
    <w:basedOn w:val="Normal"/>
    <w:next w:val="Normal"/>
    <w:link w:val="CitadestacadaCar"/>
    <w:uiPriority w:val="30"/>
    <w:qFormat/>
    <w:rsid w:val="003F1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5EC"/>
    <w:rPr>
      <w:i/>
      <w:iCs/>
      <w:color w:val="0F4761" w:themeColor="accent1" w:themeShade="BF"/>
    </w:rPr>
  </w:style>
  <w:style w:type="character" w:styleId="Referenciaintensa">
    <w:name w:val="Intense Reference"/>
    <w:basedOn w:val="Fuentedeprrafopredeter"/>
    <w:uiPriority w:val="32"/>
    <w:qFormat/>
    <w:rsid w:val="003F15EC"/>
    <w:rPr>
      <w:b/>
      <w:bCs/>
      <w:smallCaps/>
      <w:color w:val="0F4761" w:themeColor="accent1" w:themeShade="BF"/>
      <w:spacing w:val="5"/>
    </w:rPr>
  </w:style>
  <w:style w:type="paragraph" w:styleId="NormalWeb">
    <w:name w:val="Normal (Web)"/>
    <w:basedOn w:val="Normal"/>
    <w:uiPriority w:val="99"/>
    <w:semiHidden/>
    <w:unhideWhenUsed/>
    <w:rsid w:val="003F15EC"/>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table" w:styleId="Tablaconcuadrcula">
    <w:name w:val="Table Grid"/>
    <w:basedOn w:val="Tablanormal"/>
    <w:uiPriority w:val="39"/>
    <w:rsid w:val="00BE7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311</Words>
  <Characters>1716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Martinez Martinez</dc:creator>
  <cp:keywords/>
  <dc:description/>
  <cp:lastModifiedBy>Jefferson Martinez Martinez</cp:lastModifiedBy>
  <cp:revision>4</cp:revision>
  <dcterms:created xsi:type="dcterms:W3CDTF">2026-05-11T17:55:00Z</dcterms:created>
  <dcterms:modified xsi:type="dcterms:W3CDTF">2026-05-11T19:30:00Z</dcterms:modified>
</cp:coreProperties>
</file>