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SECURITY INCIDENT REPORT</w:t>
      </w:r>
    </w:p>
    <w:p>
      <w:pPr>
        <w:spacing w:after="20"/>
        <w:jc w:val="center"/>
      </w:pPr>
      <w:r>
        <w:rPr>
          <w:rFonts w:ascii="Calibri" w:cs="Calibri" w:eastAsia="Calibri" w:hAnsi="Calibri"/>
          <w:color w:val="595959"/>
          <w:sz w:val="24"/>
          <w:szCs w:val="24"/>
        </w:rPr>
        <w:t xml:space="preserve">Brute Force RDP Detection — T1110</w:t>
      </w:r>
    </w:p>
    <w:p>
      <w:pPr>
        <w:spacing w:after="300"/>
        <w:jc w:val="center"/>
      </w:pPr>
      <w:r>
        <w:rPr>
          <w:rFonts w:ascii="Calibri" w:cs="Calibri" w:eastAsia="Calibri" w:hAnsi="Calibri"/>
          <w:i/>
          <w:iCs/>
          <w:color w:val="595959"/>
          <w:sz w:val="20"/>
          <w:szCs w:val="20"/>
        </w:rPr>
        <w:t xml:space="preserve">Microsoft Sentinel SOC Simulation Lab</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Incident Title</w:t>
            </w:r>
          </w:p>
        </w:tc>
        <w:tc>
          <w:tcPr>
            <w:tcW w:type="dxa" w:w="7300"/>
            <w:tcMar>
              <w:top w:type="dxa" w:w="80"/>
              <w:left w:type="dxa" w:w="120"/>
              <w:bottom w:type="dxa" w:w="80"/>
              <w:right w:type="dxa" w:w="120"/>
            </w:tcMar>
          </w:tcPr>
          <w:p>
            <w:r>
              <w:rPr>
                <w:rFonts w:ascii="Calibri" w:cs="Calibri" w:eastAsia="Calibri" w:hAnsi="Calibri"/>
                <w:sz w:val="20"/>
                <w:szCs w:val="20"/>
              </w:rPr>
              <w:t xml:space="preserve">Brute Force RDP Detection - T1110</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7300"/>
            <w:tcMar>
              <w:top w:type="dxa" w:w="80"/>
              <w:left w:type="dxa" w:w="120"/>
              <w:bottom w:type="dxa" w:w="80"/>
              <w:right w:type="dxa" w:w="120"/>
            </w:tcMar>
          </w:tcPr>
          <w:p>
            <w:r>
              <w:rPr>
                <w:rFonts w:ascii="Calibri" w:cs="Calibri" w:eastAsia="Calibri" w:hAnsi="Calibri"/>
                <w:sz w:val="20"/>
                <w:szCs w:val="20"/>
              </w:rPr>
              <w:t xml:space="preserve">High</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7300"/>
            <w:tcMar>
              <w:top w:type="dxa" w:w="80"/>
              <w:left w:type="dxa" w:w="120"/>
              <w:bottom w:type="dxa" w:w="80"/>
              <w:right w:type="dxa" w:w="120"/>
            </w:tcMar>
          </w:tcPr>
          <w:p>
            <w:r>
              <w:rPr>
                <w:rFonts w:ascii="Calibri" w:cs="Calibri" w:eastAsia="Calibri" w:hAnsi="Calibri"/>
                <w:sz w:val="20"/>
                <w:szCs w:val="20"/>
              </w:rPr>
              <w:t xml:space="preserve">Closed — True Positive (Suspicious Activity)</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Date Detected</w:t>
            </w:r>
          </w:p>
        </w:tc>
        <w:tc>
          <w:tcPr>
            <w:tcW w:type="dxa" w:w="7300"/>
            <w:tcMar>
              <w:top w:type="dxa" w:w="80"/>
              <w:left w:type="dxa" w:w="120"/>
              <w:bottom w:type="dxa" w:w="80"/>
              <w:right w:type="dxa" w:w="120"/>
            </w:tcMar>
          </w:tcPr>
          <w:p>
            <w:r>
              <w:rPr>
                <w:rFonts w:ascii="Calibri" w:cs="Calibri" w:eastAsia="Calibri" w:hAnsi="Calibri"/>
                <w:sz w:val="20"/>
                <w:szCs w:val="20"/>
              </w:rPr>
              <w:t xml:space="preserve">August 27, 2026</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Date Closed</w:t>
            </w:r>
          </w:p>
        </w:tc>
        <w:tc>
          <w:tcPr>
            <w:tcW w:type="dxa" w:w="7300"/>
            <w:tcMar>
              <w:top w:type="dxa" w:w="80"/>
              <w:left w:type="dxa" w:w="120"/>
              <w:bottom w:type="dxa" w:w="80"/>
              <w:right w:type="dxa" w:w="120"/>
            </w:tcMar>
          </w:tcPr>
          <w:p>
            <w:r>
              <w:rPr>
                <w:rFonts w:ascii="Calibri" w:cs="Calibri" w:eastAsia="Calibri" w:hAnsi="Calibri"/>
                <w:sz w:val="20"/>
                <w:szCs w:val="20"/>
              </w:rPr>
              <w:t xml:space="preserve">August 27, 2026</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Prepared By</w:t>
            </w:r>
          </w:p>
        </w:tc>
        <w:tc>
          <w:tcPr>
            <w:tcW w:type="dxa" w:w="7300"/>
            <w:tcMar>
              <w:top w:type="dxa" w:w="80"/>
              <w:left w:type="dxa" w:w="120"/>
              <w:bottom w:type="dxa" w:w="80"/>
              <w:right w:type="dxa" w:w="120"/>
            </w:tcMar>
          </w:tcPr>
          <w:p>
            <w:r>
              <w:rPr>
                <w:rFonts w:ascii="Calibri" w:cs="Calibri" w:eastAsia="Calibri" w:hAnsi="Calibri"/>
                <w:sz w:val="20"/>
                <w:szCs w:val="20"/>
              </w:rPr>
              <w:t xml:space="preserve">Ricardo H. Alvarez II</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Environment</w:t>
            </w:r>
          </w:p>
        </w:tc>
        <w:tc>
          <w:tcPr>
            <w:tcW w:type="dxa" w:w="7300"/>
            <w:tcMar>
              <w:top w:type="dxa" w:w="80"/>
              <w:left w:type="dxa" w:w="120"/>
              <w:bottom w:type="dxa" w:w="80"/>
              <w:right w:type="dxa" w:w="120"/>
            </w:tcMar>
          </w:tcPr>
          <w:p>
            <w:r>
              <w:rPr>
                <w:rFonts w:ascii="Calibri" w:cs="Calibri" w:eastAsia="Calibri" w:hAnsi="Calibri"/>
                <w:sz w:val="20"/>
                <w:szCs w:val="20"/>
              </w:rPr>
              <w:t xml:space="preserve">Self-directed Azure lab (Microsoft Sentinel SOC Simulation Lab)</w:t>
            </w:r>
          </w:p>
        </w:tc>
      </w:tr>
    </w:tbl>
    <w:p>
      <w:pPr>
        <w:spacing w:after="200"/>
      </w:pPr>
    </w:p>
    <w:p>
      <w:pPr>
        <w:pStyle w:val="Heading1"/>
        <w:pBdr>
          <w:bottom w:val="single" w:color="1F3864" w:sz="6" w:space="4"/>
        </w:pBdr>
        <w:spacing w:after="140" w:before="320"/>
      </w:pPr>
      <w:r>
        <w:rPr>
          <w:rFonts w:ascii="Calibri" w:cs="Calibri" w:eastAsia="Calibri" w:hAnsi="Calibri"/>
          <w:b/>
          <w:bCs/>
          <w:color w:val="1F3864"/>
          <w:sz w:val="26"/>
          <w:szCs w:val="26"/>
        </w:rPr>
        <w:t xml:space="preserve">1. Executive Summary</w:t>
      </w:r>
    </w:p>
    <w:p>
      <w:pPr>
        <w:spacing w:after="120" w:line="276"/>
      </w:pPr>
      <w:r>
        <w:rPr>
          <w:rFonts w:ascii="Calibri" w:cs="Calibri" w:eastAsia="Calibri" w:hAnsi="Calibri"/>
          <w:sz w:val="21"/>
          <w:szCs w:val="21"/>
        </w:rPr>
        <w:t xml:space="preserve">A custom Microsoft Sentinel analytics rule detected a brute force attack against a Windows Server 2022 virtual machine (vm-honeypot-lab) that was intentionally exposed to the internet via RDP (port 3389) as part of a controlled detection-engineering exercise. Failed logon attempts (Event ID 4625) exceeded the alert threshold within a 10-minute window, generating a High-severity incident. The activity was investigated, confirmed as expected test traffic within the lab environment, and formally closed as a true positive. The exposure was remediated by restricting the associated Network Security Group (NSG) rule. No successful unauthorized access occurred.</w:t>
      </w:r>
    </w:p>
    <w:p>
      <w:pPr>
        <w:pStyle w:val="Heading1"/>
        <w:pBdr>
          <w:bottom w:val="single" w:color="1F3864" w:sz="6" w:space="4"/>
        </w:pBdr>
        <w:spacing w:after="140" w:before="320"/>
      </w:pPr>
      <w:r>
        <w:rPr>
          <w:rFonts w:ascii="Calibri" w:cs="Calibri" w:eastAsia="Calibri" w:hAnsi="Calibri"/>
          <w:b/>
          <w:bCs/>
          <w:color w:val="1F3864"/>
          <w:sz w:val="26"/>
          <w:szCs w:val="26"/>
        </w:rPr>
        <w:t xml:space="preserve">2. Incident Classification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MITRE ATT&amp;CK Tactic</w:t>
            </w:r>
          </w:p>
        </w:tc>
        <w:tc>
          <w:tcPr>
            <w:tcW w:type="dxa" w:w="7300"/>
            <w:tcMar>
              <w:top w:type="dxa" w:w="80"/>
              <w:left w:type="dxa" w:w="120"/>
              <w:bottom w:type="dxa" w:w="80"/>
              <w:right w:type="dxa" w:w="120"/>
            </w:tcMar>
          </w:tcPr>
          <w:p>
            <w:r>
              <w:rPr>
                <w:rFonts w:ascii="Calibri" w:cs="Calibri" w:eastAsia="Calibri" w:hAnsi="Calibri"/>
                <w:sz w:val="20"/>
                <w:szCs w:val="20"/>
              </w:rPr>
              <w:t xml:space="preserve">T1110 — Brute Force (Credential Access)</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Detection Source</w:t>
            </w:r>
          </w:p>
        </w:tc>
        <w:tc>
          <w:tcPr>
            <w:tcW w:type="dxa" w:w="7300"/>
            <w:tcMar>
              <w:top w:type="dxa" w:w="80"/>
              <w:left w:type="dxa" w:w="120"/>
              <w:bottom w:type="dxa" w:w="80"/>
              <w:right w:type="dxa" w:w="120"/>
            </w:tcMar>
          </w:tcPr>
          <w:p>
            <w:r>
              <w:rPr>
                <w:rFonts w:ascii="Calibri" w:cs="Calibri" w:eastAsia="Calibri" w:hAnsi="Calibri"/>
                <w:sz w:val="20"/>
                <w:szCs w:val="20"/>
              </w:rPr>
              <w:t xml:space="preserve">Microsoft Sentinel — custom Scheduled Query Rule</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Affected Asset</w:t>
            </w:r>
          </w:p>
        </w:tc>
        <w:tc>
          <w:tcPr>
            <w:tcW w:type="dxa" w:w="7300"/>
            <w:tcMar>
              <w:top w:type="dxa" w:w="80"/>
              <w:left w:type="dxa" w:w="120"/>
              <w:bottom w:type="dxa" w:w="80"/>
              <w:right w:type="dxa" w:w="120"/>
            </w:tcMar>
          </w:tcPr>
          <w:p>
            <w:r>
              <w:rPr>
                <w:rFonts w:ascii="Calibri" w:cs="Calibri" w:eastAsia="Calibri" w:hAnsi="Calibri"/>
                <w:sz w:val="20"/>
                <w:szCs w:val="20"/>
              </w:rPr>
              <w:t xml:space="preserve">vm-honeypot-lab (Standard D2als_v7, Windows Server 2022 Datacenter, South Central US)</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Log Source</w:t>
            </w:r>
          </w:p>
        </w:tc>
        <w:tc>
          <w:tcPr>
            <w:tcW w:type="dxa" w:w="7300"/>
            <w:tcMar>
              <w:top w:type="dxa" w:w="80"/>
              <w:left w:type="dxa" w:w="120"/>
              <w:bottom w:type="dxa" w:w="80"/>
              <w:right w:type="dxa" w:w="120"/>
            </w:tcMar>
          </w:tcPr>
          <w:p>
            <w:r>
              <w:rPr>
                <w:rFonts w:ascii="Calibri" w:cs="Calibri" w:eastAsia="Calibri" w:hAnsi="Calibri"/>
                <w:sz w:val="20"/>
                <w:szCs w:val="20"/>
              </w:rPr>
              <w:t xml:space="preserve">Windows Security Event Log — Event ID 4625 (failed logon)</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Alert Threshold</w:t>
            </w:r>
          </w:p>
        </w:tc>
        <w:tc>
          <w:tcPr>
            <w:tcW w:type="dxa" w:w="7300"/>
            <w:tcMar>
              <w:top w:type="dxa" w:w="80"/>
              <w:left w:type="dxa" w:w="120"/>
              <w:bottom w:type="dxa" w:w="80"/>
              <w:right w:type="dxa" w:w="120"/>
            </w:tcMar>
          </w:tcPr>
          <w:p>
            <w:r>
              <w:rPr>
                <w:rFonts w:ascii="Calibri" w:cs="Calibri" w:eastAsia="Calibri" w:hAnsi="Calibri"/>
                <w:sz w:val="20"/>
                <w:szCs w:val="20"/>
              </w:rPr>
              <w:t xml:space="preserve">3 or more failed logon attempts per host</w:t>
            </w:r>
          </w:p>
        </w:tc>
      </w:tr>
      <w:tr>
        <w:tc>
          <w:tcPr>
            <w:tcW w:type="dxa" w:w="2400"/>
            <w:shd w:fill="F2F2F2" w:val="clear"/>
            <w:tcMar>
              <w:top w:type="dxa" w:w="80"/>
              <w:left w:type="dxa" w:w="120"/>
              <w:bottom w:type="dxa" w:w="80"/>
              <w:right w:type="dxa" w:w="120"/>
            </w:tcMar>
          </w:tcPr>
          <w:p>
            <w:r>
              <w:rPr>
                <w:rFonts w:ascii="Calibri" w:cs="Calibri" w:eastAsia="Calibri" w:hAnsi="Calibri"/>
                <w:b/>
                <w:bCs/>
                <w:sz w:val="20"/>
                <w:szCs w:val="20"/>
              </w:rPr>
              <w:t xml:space="preserve">Entity Mapping</w:t>
            </w:r>
          </w:p>
        </w:tc>
        <w:tc>
          <w:tcPr>
            <w:tcW w:type="dxa" w:w="7300"/>
            <w:tcMar>
              <w:top w:type="dxa" w:w="80"/>
              <w:left w:type="dxa" w:w="120"/>
              <w:bottom w:type="dxa" w:w="80"/>
              <w:right w:type="dxa" w:w="120"/>
            </w:tcMar>
          </w:tcPr>
          <w:p>
            <w:r>
              <w:rPr>
                <w:rFonts w:ascii="Calibri" w:cs="Calibri" w:eastAsia="Calibri" w:hAnsi="Calibri"/>
                <w:sz w:val="20"/>
                <w:szCs w:val="20"/>
              </w:rPr>
              <w:t xml:space="preserve">Host entity — vm-honeypot-lab</w:t>
            </w:r>
          </w:p>
        </w:tc>
      </w:tr>
    </w:tbl>
    <w:p>
      <w:pPr>
        <w:pStyle w:val="Heading1"/>
        <w:pBdr>
          <w:bottom w:val="single" w:color="1F3864" w:sz="6" w:space="4"/>
        </w:pBdr>
        <w:spacing w:after="140" w:before="320"/>
      </w:pPr>
      <w:r>
        <w:rPr>
          <w:rFonts w:ascii="Calibri" w:cs="Calibri" w:eastAsia="Calibri" w:hAnsi="Calibri"/>
          <w:b/>
          <w:bCs/>
          <w:color w:val="1F3864"/>
          <w:sz w:val="26"/>
          <w:szCs w:val="26"/>
        </w:rPr>
        <w:t xml:space="preserve">3. Detection</w:t>
      </w:r>
    </w:p>
    <w:p>
      <w:pPr>
        <w:spacing w:after="120" w:line="276"/>
      </w:pPr>
      <w:r>
        <w:rPr>
          <w:rFonts w:ascii="Calibri" w:cs="Calibri" w:eastAsia="Calibri" w:hAnsi="Calibri"/>
          <w:sz w:val="21"/>
          <w:szCs w:val="21"/>
        </w:rPr>
        <w:t xml:space="preserve">A Data Collection Rule (DCR) was configured to forward Windows Security Event Logs from vm-honeypot-lab into the law-sentinel-lab Log Analytics workspace. A Scheduled Query Rule was written in KQL to count failed logon attempts (Event ID 4625) per host and trigger an alert when the count reached or exceeded 3 within the evaluation window. The rule was mapped to MITRE ATT&amp;CK T1110 (Brute Force) with Entity Mapping configured against the Host field so that any triggered incident would automatically populate a visual investigation graph.</w:t>
      </w:r>
    </w:p>
    <w:p>
      <w:pPr>
        <w:spacing w:after="40" w:before="120"/>
      </w:pPr>
      <w:r>
        <w:rPr>
          <w:rFonts w:ascii="Calibri" w:cs="Calibri" w:eastAsia="Calibri" w:hAnsi="Calibri"/>
          <w:b/>
          <w:bCs/>
          <w:sz w:val="21"/>
          <w:szCs w:val="21"/>
        </w:rPr>
        <w:t xml:space="preserve">Detection Logic (KQL)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5F5F5"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Event</w:t>
            </w:r>
          </w:p>
          <w:p>
            <w:pPr>
              <w:spacing w:after="20"/>
            </w:pPr>
            <w:r>
              <w:rPr>
                <w:rFonts w:ascii="Consolas" w:cs="Consolas" w:eastAsia="Consolas" w:hAnsi="Consolas"/>
                <w:color w:val="333333"/>
                <w:sz w:val="19"/>
                <w:szCs w:val="19"/>
              </w:rPr>
              <w:t xml:space="preserve">| where EventID == 4625</w:t>
            </w:r>
          </w:p>
          <w:p>
            <w:pPr>
              <w:spacing w:after="20"/>
            </w:pPr>
            <w:r>
              <w:rPr>
                <w:rFonts w:ascii="Consolas" w:cs="Consolas" w:eastAsia="Consolas" w:hAnsi="Consolas"/>
                <w:color w:val="333333"/>
                <w:sz w:val="19"/>
                <w:szCs w:val="19"/>
              </w:rPr>
              <w:t xml:space="preserve">| summarize FailedAttempts = count() by Computer</w:t>
            </w:r>
          </w:p>
          <w:p>
            <w:pPr>
              <w:spacing w:after="20"/>
            </w:pPr>
            <w:r>
              <w:rPr>
                <w:rFonts w:ascii="Consolas" w:cs="Consolas" w:eastAsia="Consolas" w:hAnsi="Consolas"/>
                <w:color w:val="333333"/>
                <w:sz w:val="19"/>
                <w:szCs w:val="19"/>
              </w:rPr>
              <w:t xml:space="preserve">| where FailedAttempts &gt;= 3</w:t>
            </w:r>
          </w:p>
        </w:tc>
      </w:tr>
    </w:tbl>
    <w:p>
      <w:pPr>
        <w:spacing w:after="120" w:line="276"/>
      </w:pPr>
      <w:r>
        <w:rPr>
          <w:rFonts w:ascii="Calibri" w:cs="Calibri" w:eastAsia="Calibri" w:hAnsi="Calibri"/>
          <w:sz w:val="21"/>
          <w:szCs w:val="21"/>
        </w:rPr>
        <w:t xml:space="preserve">The rule fired as designed and generated a High-severity incident with vm-honeypot-lab correctly attached as a Host entity, enabling the investigation graph used in the following section.</w:t>
      </w:r>
    </w:p>
    <w:p>
      <w:pPr>
        <w:pStyle w:val="Heading1"/>
        <w:pBdr>
          <w:bottom w:val="single" w:color="1F3864" w:sz="6" w:space="4"/>
        </w:pBdr>
        <w:spacing w:after="140" w:before="320"/>
      </w:pPr>
      <w:r>
        <w:rPr>
          <w:rFonts w:ascii="Calibri" w:cs="Calibri" w:eastAsia="Calibri" w:hAnsi="Calibri"/>
          <w:b/>
          <w:bCs/>
          <w:color w:val="1F3864"/>
          <w:sz w:val="26"/>
          <w:szCs w:val="26"/>
        </w:rPr>
        <w:t xml:space="preserve">4. Investigation</w:t>
      </w:r>
    </w:p>
    <w:p>
      <w:pPr>
        <w:spacing w:after="120" w:line="276"/>
      </w:pPr>
      <w:r>
        <w:rPr>
          <w:rFonts w:ascii="Calibri" w:cs="Calibri" w:eastAsia="Calibri" w:hAnsi="Calibri"/>
          <w:sz w:val="21"/>
          <w:szCs w:val="21"/>
        </w:rPr>
        <w:t xml:space="preserve">The incident was opened in Microsoft Sentinel's incident queue and investigated using the built-in investigation graph, which visually connected the alert to the affected host entity and its timeline. The timeline confirmed a cluster of Event ID 4625 failed logon events against vm-honeypot-lab occurring within a 10-minute window, consistent with an automated or repeated authentication attempt pattern rather than a single accidental login failure.</w:t>
      </w:r>
    </w:p>
    <w:p>
      <w:pPr>
        <w:spacing w:after="120" w:line="276"/>
      </w:pPr>
      <w:r>
        <w:rPr>
          <w:rFonts w:ascii="Calibri" w:cs="Calibri" w:eastAsia="Calibri" w:hAnsi="Calibri"/>
          <w:sz w:val="21"/>
          <w:szCs w:val="21"/>
        </w:rPr>
        <w:t xml:space="preserve">Because the VM was a deliberately exposed honeypot with no legitimate production use, the source of the failed logons was confirmed to be expected test/attack-surface traffic generated for the purpose of validating the detection pipeline, rather than an active external threat actor. This distinction — verifying context before classification — reflects standard SOC triage practice: an alert firing correctly does not automatically mean a real adversary is present, and the analyst must confirm scope and intent before closing.</w:t>
      </w:r>
    </w:p>
    <w:p>
      <w:pPr>
        <w:pStyle w:val="Heading1"/>
        <w:pBdr>
          <w:bottom w:val="single" w:color="1F3864" w:sz="6" w:space="4"/>
        </w:pBdr>
        <w:spacing w:after="140" w:before="320"/>
      </w:pPr>
      <w:r>
        <w:rPr>
          <w:rFonts w:ascii="Calibri" w:cs="Calibri" w:eastAsia="Calibri" w:hAnsi="Calibri"/>
          <w:b/>
          <w:bCs/>
          <w:color w:val="1F3864"/>
          <w:sz w:val="26"/>
          <w:szCs w:val="26"/>
        </w:rPr>
        <w:t xml:space="preserve">5. Root Cause</w:t>
      </w:r>
    </w:p>
    <w:p>
      <w:pPr>
        <w:spacing w:after="120" w:line="276"/>
      </w:pPr>
      <w:r>
        <w:rPr>
          <w:rFonts w:ascii="Calibri" w:cs="Calibri" w:eastAsia="Calibri" w:hAnsi="Calibri"/>
          <w:sz w:val="21"/>
          <w:szCs w:val="21"/>
        </w:rPr>
        <w:t xml:space="preserve">The virtual machine's Network Security Group (NSG) had an inbound rule allowing RDP (port 3389) from any source (0.0.0.0/0). This configuration was intentionally introduced as the controlled misconfiguration this lab was built to detect, representing a common real-world attack surface: an internet-facing management port with no source restriction.</w:t>
      </w:r>
    </w:p>
    <w:p>
      <w:pPr>
        <w:pStyle w:val="Heading1"/>
        <w:pBdr>
          <w:bottom w:val="single" w:color="1F3864" w:sz="6" w:space="4"/>
        </w:pBdr>
        <w:spacing w:after="140" w:before="320"/>
      </w:pPr>
      <w:r>
        <w:rPr>
          <w:rFonts w:ascii="Calibri" w:cs="Calibri" w:eastAsia="Calibri" w:hAnsi="Calibri"/>
          <w:b/>
          <w:bCs/>
          <w:color w:val="1F3864"/>
          <w:sz w:val="26"/>
          <w:szCs w:val="26"/>
        </w:rPr>
        <w:t xml:space="preserve">6. Impact Assessment</w:t>
      </w:r>
    </w:p>
    <w:p>
      <w:pPr>
        <w:pStyle w:val="ListParagraph"/>
        <w:numPr>
          <w:ilvl w:val="0"/>
          <w:numId w:val="1"/>
        </w:numPr>
        <w:spacing w:after="60" w:line="264"/>
      </w:pPr>
      <w:r>
        <w:rPr>
          <w:rFonts w:ascii="Calibri" w:cs="Calibri" w:eastAsia="Calibri" w:hAnsi="Calibri"/>
          <w:sz w:val="21"/>
          <w:szCs w:val="21"/>
        </w:rPr>
        <w:t xml:space="preserve">No successful authentication occurred — all observed events were failed logon attempts (Event ID 4625).</w:t>
      </w:r>
    </w:p>
    <w:p>
      <w:pPr>
        <w:pStyle w:val="ListParagraph"/>
        <w:numPr>
          <w:ilvl w:val="0"/>
          <w:numId w:val="1"/>
        </w:numPr>
        <w:spacing w:after="60" w:line="264"/>
      </w:pPr>
      <w:r>
        <w:rPr>
          <w:rFonts w:ascii="Calibri" w:cs="Calibri" w:eastAsia="Calibri" w:hAnsi="Calibri"/>
          <w:sz w:val="21"/>
          <w:szCs w:val="21"/>
        </w:rPr>
        <w:t xml:space="preserve">No lateral movement, privilege escalation, or data access was observed or expected, as this was a controlled lab exercise.</w:t>
      </w:r>
    </w:p>
    <w:p>
      <w:pPr>
        <w:pStyle w:val="ListParagraph"/>
        <w:numPr>
          <w:ilvl w:val="0"/>
          <w:numId w:val="1"/>
        </w:numPr>
        <w:spacing w:after="60" w:line="264"/>
      </w:pPr>
      <w:r>
        <w:rPr>
          <w:rFonts w:ascii="Calibri" w:cs="Calibri" w:eastAsia="Calibri" w:hAnsi="Calibri"/>
          <w:sz w:val="21"/>
          <w:szCs w:val="21"/>
        </w:rPr>
        <w:t xml:space="preserve">Impact is assessed as None (confirmed) — the finding is significant only in that it validates the exposure and detection pipeline, not that a breach occurred.</w:t>
      </w:r>
    </w:p>
    <w:p>
      <w:pPr>
        <w:pStyle w:val="Heading1"/>
        <w:pBdr>
          <w:bottom w:val="single" w:color="1F3864" w:sz="6" w:space="4"/>
        </w:pBdr>
        <w:spacing w:after="140" w:before="320"/>
      </w:pPr>
      <w:r>
        <w:rPr>
          <w:rFonts w:ascii="Calibri" w:cs="Calibri" w:eastAsia="Calibri" w:hAnsi="Calibri"/>
          <w:b/>
          <w:bCs/>
          <w:color w:val="1F3864"/>
          <w:sz w:val="26"/>
          <w:szCs w:val="26"/>
        </w:rPr>
        <w:t xml:space="preserve">7. Containment &amp; Remediation</w:t>
      </w:r>
    </w:p>
    <w:p>
      <w:pPr>
        <w:spacing w:after="120" w:line="276"/>
      </w:pPr>
      <w:r>
        <w:rPr>
          <w:rFonts w:ascii="Calibri" w:cs="Calibri" w:eastAsia="Calibri" w:hAnsi="Calibri"/>
          <w:sz w:val="21"/>
          <w:szCs w:val="21"/>
        </w:rPr>
        <w:t xml:space="preserve">The Network Security Group inbound rule governing RDP (3389) on vm-honeypot-lab was changed from Allow (Any source) to Deny, immediately closing the attack surface that the lab had intentionally opened. This action was applied directly to the affected resource and confirmed in the NSG rule list post-change.</w:t>
      </w:r>
    </w:p>
    <w:p>
      <w:pPr>
        <w:pStyle w:val="Heading1"/>
        <w:pBdr>
          <w:bottom w:val="single" w:color="1F3864" w:sz="6" w:space="4"/>
        </w:pBdr>
        <w:spacing w:after="140" w:before="320"/>
      </w:pPr>
      <w:r>
        <w:rPr>
          <w:rFonts w:ascii="Calibri" w:cs="Calibri" w:eastAsia="Calibri" w:hAnsi="Calibri"/>
          <w:b/>
          <w:bCs/>
          <w:color w:val="1F3864"/>
          <w:sz w:val="26"/>
          <w:szCs w:val="26"/>
        </w:rPr>
        <w:t xml:space="preserve">8. Recommendations</w:t>
      </w:r>
    </w:p>
    <w:p>
      <w:pPr>
        <w:pStyle w:val="ListParagraph"/>
        <w:numPr>
          <w:ilvl w:val="0"/>
          <w:numId w:val="1"/>
        </w:numPr>
        <w:spacing w:after="60" w:line="264"/>
      </w:pPr>
      <w:r>
        <w:rPr>
          <w:rFonts w:ascii="Calibri" w:cs="Calibri" w:eastAsia="Calibri" w:hAnsi="Calibri"/>
          <w:sz w:val="21"/>
          <w:szCs w:val="21"/>
        </w:rPr>
        <w:t xml:space="preserve">Do not expose RDP directly to the internet on production or lab systems; restrict inbound rules to specific, trusted source IP ranges.</w:t>
      </w:r>
    </w:p>
    <w:p>
      <w:pPr>
        <w:pStyle w:val="ListParagraph"/>
        <w:numPr>
          <w:ilvl w:val="0"/>
          <w:numId w:val="1"/>
        </w:numPr>
        <w:spacing w:after="60" w:line="264"/>
      </w:pPr>
      <w:r>
        <w:rPr>
          <w:rFonts w:ascii="Calibri" w:cs="Calibri" w:eastAsia="Calibri" w:hAnsi="Calibri"/>
          <w:sz w:val="21"/>
          <w:szCs w:val="21"/>
        </w:rPr>
        <w:t xml:space="preserve">Where remote administrative access is required, use Azure Bastion or a VPN/jump-box architecture instead of a public-facing RDP port.</w:t>
      </w:r>
    </w:p>
    <w:p>
      <w:pPr>
        <w:pStyle w:val="ListParagraph"/>
        <w:numPr>
          <w:ilvl w:val="0"/>
          <w:numId w:val="1"/>
        </w:numPr>
        <w:spacing w:after="60" w:line="264"/>
      </w:pPr>
      <w:r>
        <w:rPr>
          <w:rFonts w:ascii="Calibri" w:cs="Calibri" w:eastAsia="Calibri" w:hAnsi="Calibri"/>
          <w:sz w:val="21"/>
          <w:szCs w:val="21"/>
        </w:rPr>
        <w:t xml:space="preserve">Retain the current detection rule and threshold for any future exposed hosts to maintain visibility into brute-force attempts.</w:t>
      </w:r>
    </w:p>
    <w:p>
      <w:pPr>
        <w:pStyle w:val="ListParagraph"/>
        <w:numPr>
          <w:ilvl w:val="0"/>
          <w:numId w:val="1"/>
        </w:numPr>
        <w:spacing w:after="60" w:line="264"/>
      </w:pPr>
      <w:r>
        <w:rPr>
          <w:rFonts w:ascii="Calibri" w:cs="Calibri" w:eastAsia="Calibri" w:hAnsi="Calibri"/>
          <w:sz w:val="21"/>
          <w:szCs w:val="21"/>
        </w:rPr>
        <w:t xml:space="preserve">Periodically review NSG rules across all resource groups to catch unintended broad-scope inbound allowances before they are exploited.</w:t>
      </w:r>
    </w:p>
    <w:p>
      <w:pPr>
        <w:pStyle w:val="Heading1"/>
        <w:pBdr>
          <w:bottom w:val="single" w:color="1F3864" w:sz="6" w:space="4"/>
        </w:pBdr>
        <w:spacing w:after="140" w:before="320"/>
      </w:pPr>
      <w:r>
        <w:rPr>
          <w:rFonts w:ascii="Calibri" w:cs="Calibri" w:eastAsia="Calibri" w:hAnsi="Calibri"/>
          <w:b/>
          <w:bCs/>
          <w:color w:val="1F3864"/>
          <w:sz w:val="26"/>
          <w:szCs w:val="26"/>
        </w:rPr>
        <w:t xml:space="preserve">9. Incident Closure</w:t>
      </w:r>
    </w:p>
    <w:p>
      <w:pPr>
        <w:spacing w:after="120" w:line="276"/>
      </w:pPr>
      <w:r>
        <w:rPr>
          <w:rFonts w:ascii="Calibri" w:cs="Calibri" w:eastAsia="Calibri" w:hAnsi="Calibri"/>
          <w:sz w:val="21"/>
          <w:szCs w:val="21"/>
        </w:rPr>
        <w:t xml:space="preserve">The incident was formally closed in Microsoft Sentinel as a True Positive — Suspicious Activity, with the following written closing note: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shd w:fill="F5F5F5" w:val="clear"/>
            <w:tcMar>
              <w:top w:type="dxa" w:w="120"/>
              <w:left w:type="dxa" w:w="160"/>
              <w:bottom w:type="dxa" w:w="120"/>
              <w:right w:type="dxa" w:w="160"/>
            </w:tcMar>
          </w:tcPr>
          <w:p>
            <w:pPr>
              <w:spacing w:after="20"/>
            </w:pPr>
            <w:r>
              <w:rPr>
                <w:rFonts w:ascii="Consolas" w:cs="Consolas" w:eastAsia="Consolas" w:hAnsi="Consolas"/>
                <w:color w:val="333333"/>
                <w:sz w:val="19"/>
                <w:szCs w:val="19"/>
              </w:rPr>
              <w:t xml:space="preserve">"Investigated brute-force RDP attempts against vm-honeypot-lab. Failed logon</w:t>
            </w:r>
          </w:p>
          <w:p>
            <w:pPr>
              <w:spacing w:after="20"/>
            </w:pPr>
            <w:r>
              <w:rPr>
                <w:rFonts w:ascii="Consolas" w:cs="Consolas" w:eastAsia="Consolas" w:hAnsi="Consolas"/>
                <w:color w:val="333333"/>
                <w:sz w:val="19"/>
                <w:szCs w:val="19"/>
              </w:rPr>
              <w:t xml:space="preserve">attempts (Event ID 4625) exceeded threshold within a 10-minute window, correctly</w:t>
            </w:r>
          </w:p>
          <w:p>
            <w:pPr>
              <w:spacing w:after="20"/>
            </w:pPr>
            <w:r>
              <w:rPr>
                <w:rFonts w:ascii="Consolas" w:cs="Consolas" w:eastAsia="Consolas" w:hAnsi="Consolas"/>
                <w:color w:val="333333"/>
                <w:sz w:val="19"/>
                <w:szCs w:val="19"/>
              </w:rPr>
              <w:t xml:space="preserve">triggering this alert. Confirmed activity was expected test traffic in this lab</w:t>
            </w:r>
          </w:p>
          <w:p>
            <w:pPr>
              <w:spacing w:after="20"/>
            </w:pPr>
            <w:r>
              <w:rPr>
                <w:rFonts w:ascii="Consolas" w:cs="Consolas" w:eastAsia="Consolas" w:hAnsi="Consolas"/>
                <w:color w:val="333333"/>
                <w:sz w:val="19"/>
                <w:szCs w:val="19"/>
              </w:rPr>
              <w:t xml:space="preserve">environment. Recommended remediation: remove public RDP exposure, restrict NSG</w:t>
            </w:r>
          </w:p>
          <w:p>
            <w:pPr>
              <w:spacing w:after="20"/>
            </w:pPr>
            <w:r>
              <w:rPr>
                <w:rFonts w:ascii="Consolas" w:cs="Consolas" w:eastAsia="Consolas" w:hAnsi="Consolas"/>
                <w:color w:val="333333"/>
                <w:sz w:val="19"/>
                <w:szCs w:val="19"/>
              </w:rPr>
              <w:t xml:space="preserve">rule to trusted IPs, or deploy Azure Bastion instead."</w:t>
            </w:r>
          </w:p>
        </w:tc>
      </w:tr>
    </w:tbl>
    <w:p>
      <w:pPr>
        <w:pStyle w:val="Heading1"/>
        <w:pBdr>
          <w:bottom w:val="single" w:color="1F3864" w:sz="6" w:space="4"/>
        </w:pBdr>
        <w:spacing w:after="140" w:before="320"/>
      </w:pPr>
      <w:r>
        <w:rPr>
          <w:rFonts w:ascii="Calibri" w:cs="Calibri" w:eastAsia="Calibri" w:hAnsi="Calibri"/>
          <w:b/>
          <w:bCs/>
          <w:color w:val="1F3864"/>
          <w:sz w:val="26"/>
          <w:szCs w:val="26"/>
        </w:rPr>
        <w:t xml:space="preserve">10. Lessons Learned</w:t>
      </w:r>
    </w:p>
    <w:p>
      <w:pPr>
        <w:pStyle w:val="ListParagraph"/>
        <w:numPr>
          <w:ilvl w:val="0"/>
          <w:numId w:val="1"/>
        </w:numPr>
        <w:spacing w:after="60" w:line="264"/>
      </w:pPr>
      <w:r>
        <w:rPr>
          <w:rFonts w:ascii="Calibri" w:cs="Calibri" w:eastAsia="Calibri" w:hAnsi="Calibri"/>
          <w:sz w:val="21"/>
          <w:szCs w:val="21"/>
        </w:rPr>
        <w:t xml:space="preserve">Log routing matters as much as log collection: a generic Windows Event Logs data collection rule initially routed data to the Event table rather than the SecurityEvent table used by Sentinel's purpose-built Security Events connector, causing early validation queries to return empty results despite healthy data collection. This was isolated by checking Windows Event Viewer directly on the host to confirm the events existed locally before correctly identifying it as a log-routing issue rather than an auditing or agent failure.</w:t>
      </w:r>
    </w:p>
    <w:p>
      <w:pPr>
        <w:pStyle w:val="ListParagraph"/>
        <w:numPr>
          <w:ilvl w:val="0"/>
          <w:numId w:val="1"/>
        </w:numPr>
        <w:spacing w:after="60" w:line="264"/>
      </w:pPr>
      <w:r>
        <w:rPr>
          <w:rFonts w:ascii="Calibri" w:cs="Calibri" w:eastAsia="Calibri" w:hAnsi="Calibri"/>
          <w:sz w:val="21"/>
          <w:szCs w:val="21"/>
        </w:rPr>
        <w:t xml:space="preserve">Entity mapping is required, not optional, for usable incident response: without explicitly mapping a query field to a Host entity, Sentinel incidents display 'No Entities' and the investigation graph — the primary tool used in Section 4 above — does not populate, even when the underlying detection logic and data are correct.</w:t>
      </w:r>
    </w:p>
    <w:p>
      <w:pPr>
        <w:pStyle w:val="ListParagraph"/>
        <w:numPr>
          <w:ilvl w:val="0"/>
          <w:numId w:val="1"/>
        </w:numPr>
        <w:spacing w:after="60" w:line="264"/>
      </w:pPr>
      <w:r>
        <w:rPr>
          <w:rFonts w:ascii="Calibri" w:cs="Calibri" w:eastAsia="Calibri" w:hAnsi="Calibri"/>
          <w:sz w:val="21"/>
          <w:szCs w:val="21"/>
        </w:rPr>
        <w:t xml:space="preserve">Confirming legitimate context before closing an alert is a core triage skill: this incident could technically be closed as a true positive purely on rule logic, but proper handling required confirming the traffic's origin and intent (controlled test exposure) before finalizing classification and remediation guidance.</w:t>
      </w:r>
    </w:p>
    <w:p>
      <w:pPr>
        <w:spacing w:after="200"/>
      </w:pPr>
    </w:p>
    <w:p>
      <w:pPr>
        <w:pBdr>
          <w:top w:val="single" w:color="BFBFBF" w:sz="4" w:space="8"/>
        </w:pBdr>
        <w:spacing w:before="200"/>
      </w:pPr>
      <w:r>
        <w:rPr>
          <w:rFonts w:ascii="Calibri" w:cs="Calibri" w:eastAsia="Calibri" w:hAnsi="Calibri"/>
          <w:i/>
          <w:iCs/>
          <w:color w:val="595959"/>
          <w:sz w:val="18"/>
          <w:szCs w:val="18"/>
        </w:rPr>
        <w:t xml:space="preserve">This report documents a self-directed lab exercise conducted in a personal Microsoft Azure environment for cybersecurity skill development. It is written in the format of a formal SOC incident report to demonstrate incident documentation practice.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2026-08-29T21:55:32.928Z</dcterms:created>
  <dcterms:modified xsi:type="dcterms:W3CDTF">2026-08-29T21:55:32.942Z</dcterms:modified>
</cp:coreProperties>
</file>

<file path=docProps/custom.xml><?xml version="1.0" encoding="utf-8"?>
<Properties xmlns="http://schemas.openxmlformats.org/officeDocument/2006/custom-properties" xmlns:vt="http://schemas.openxmlformats.org/officeDocument/2006/docPropsVTypes"/>
</file>