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(AASHTO).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 </w:t>
      </w:r>
      <w:r w:rsidRPr="002B4AD8">
        <w:rPr>
          <w:rFonts w:eastAsia="Calibri"/>
          <w:szCs w:val="18"/>
        </w:rPr>
        <w:fldChar w:fldCharType="begin"/>
      </w:r>
      <w:r w:rsidRPr="002B4AD8">
        <w:rPr>
          <w:rFonts w:eastAsia="Calibri"/>
          <w:szCs w:val="18"/>
        </w:rPr>
        <w:instrText xml:space="preserve"> REF _Ref12542505 \h  \* MERGEFORMAT </w:instrText>
      </w:r>
      <w:r w:rsidRPr="002B4AD8">
        <w:rPr>
          <w:rFonts w:eastAsia="Calibri"/>
          <w:szCs w:val="18"/>
        </w:rPr>
      </w:r>
      <w:r w:rsidRPr="002B4AD8">
        <w:rPr>
          <w:rFonts w:eastAsia="Calibri"/>
          <w:szCs w:val="18"/>
        </w:rPr>
        <w:fldChar w:fldCharType="separate"/>
      </w:r>
      <w:r w:rsidRPr="002B4AD8">
        <w:rPr>
          <w:rFonts w:eastAsia="Calibri"/>
          <w:szCs w:val="18"/>
        </w:rPr>
        <w:t>Figure 1</w:t>
      </w:r>
      <w:r w:rsidRPr="002B4AD8">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3CDB0D92" w14:textId="77777777" w:rsidR="002B4AD8" w:rsidRPr="002B4AD8" w:rsidRDefault="002B4AD8" w:rsidP="002B4AD8">
      <w:pPr>
        <w:spacing w:after="160" w:line="259" w:lineRule="auto"/>
        <w:jc w:val="both"/>
        <w:rPr>
          <w:rFonts w:eastAsia="Calibri"/>
          <w:szCs w:val="18"/>
        </w:rPr>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20" cy="1714504"/>
                    </a:xfrm>
                    <a:prstGeom prst="rect">
                      <a:avLst/>
                    </a:prstGeom>
                  </pic:spPr>
                </pic:pic>
              </a:graphicData>
            </a:graphic>
          </wp:inline>
        </w:drawing>
      </w:r>
    </w:p>
    <w:p w14:paraId="3AA469EA" w14:textId="77777777" w:rsidR="002B4AD8" w:rsidRPr="002B4AD8" w:rsidRDefault="002B4AD8" w:rsidP="002B4AD8">
      <w:pPr>
        <w:spacing w:after="160" w:line="259" w:lineRule="auto"/>
        <w:jc w:val="both"/>
        <w:rPr>
          <w:rFonts w:eastAsia="Calibri"/>
          <w:szCs w:val="18"/>
        </w:rPr>
      </w:pPr>
    </w:p>
    <w:p w14:paraId="5080019C"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7777777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p>
    <w:p w14:paraId="4DB89C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t xml:space="preserve">Thus, the objective of this research study is to develop a deterministic technique for identifying the centerline path of travel lanes using </w:t>
      </w:r>
      <w:r w:rsidRPr="002B4AD8">
        <w:rPr>
          <w:rFonts w:eastAsia="Calibri"/>
          <w:bCs/>
          <w:szCs w:val="18"/>
        </w:rPr>
        <w:lastRenderedPageBreak/>
        <w:t xml:space="preserve">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77777777" w:rsidR="00C511C8" w:rsidRDefault="002B4AD8" w:rsidP="002C0E22">
      <w:pPr>
        <w:pStyle w:val="Head2"/>
      </w:pPr>
      <w:r>
        <w:t>1.1 Method Idea</w:t>
      </w:r>
    </w:p>
    <w:p w14:paraId="638B471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713319D0" w14:textId="77777777" w:rsidR="002B4AD8" w:rsidRPr="002B4AD8" w:rsidRDefault="002B4AD8" w:rsidP="002B4AD8">
      <w:pPr>
        <w:spacing w:after="160" w:line="259" w:lineRule="auto"/>
        <w:jc w:val="both"/>
        <w:rPr>
          <w:rFonts w:eastAsia="Calibri"/>
          <w:szCs w:val="18"/>
        </w:rPr>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072464F" w14:textId="77777777" w:rsidR="002B4AD8" w:rsidRPr="002B4AD8" w:rsidRDefault="002B4AD8" w:rsidP="002B4AD8">
      <w:pPr>
        <w:spacing w:after="160" w:line="259" w:lineRule="auto"/>
        <w:jc w:val="both"/>
        <w:rPr>
          <w:rFonts w:eastAsia="Calibri"/>
          <w:i/>
          <w:iCs/>
          <w:szCs w:val="18"/>
        </w:rPr>
      </w:pPr>
      <w:bookmarkStart w:id="2" w:name="_Ref12542446"/>
      <w:r w:rsidRPr="002B4AD8">
        <w:rPr>
          <w:rFonts w:eastAsia="Calibri"/>
          <w:i/>
          <w:iCs/>
          <w:szCs w:val="18"/>
        </w:rPr>
        <w:t xml:space="preserve">Figure </w:t>
      </w:r>
      <w:r w:rsidRPr="002B4AD8">
        <w:rPr>
          <w:rFonts w:eastAsia="Calibri"/>
          <w:i/>
          <w:iCs/>
          <w:szCs w:val="18"/>
        </w:rPr>
        <w:fldChar w:fldCharType="begin"/>
      </w:r>
      <w:r w:rsidRPr="002B4AD8">
        <w:rPr>
          <w:rFonts w:eastAsia="Calibri"/>
          <w:i/>
          <w:iCs/>
          <w:szCs w:val="18"/>
        </w:rPr>
        <w:instrText xml:space="preserve"> SEQ Figure \* ARABIC </w:instrText>
      </w:r>
      <w:r w:rsidRPr="002B4AD8">
        <w:rPr>
          <w:rFonts w:eastAsia="Calibri"/>
          <w:i/>
          <w:iCs/>
          <w:szCs w:val="18"/>
        </w:rPr>
        <w:fldChar w:fldCharType="separate"/>
      </w:r>
      <w:r w:rsidRPr="002B4AD8">
        <w:rPr>
          <w:rFonts w:eastAsia="Calibri"/>
          <w:i/>
          <w:iCs/>
          <w:szCs w:val="18"/>
        </w:rPr>
        <w:t>2</w:t>
      </w:r>
      <w:r w:rsidRPr="002B4AD8">
        <w:rPr>
          <w:rFonts w:eastAsia="Calibri"/>
          <w:szCs w:val="18"/>
        </w:rPr>
        <w:fldChar w:fldCharType="end"/>
      </w:r>
      <w:bookmarkEnd w:id="2"/>
      <w:r w:rsidRPr="002B4AD8">
        <w:rPr>
          <w:rFonts w:eastAsia="Calibri"/>
          <w:i/>
          <w:iCs/>
          <w:szCs w:val="18"/>
        </w:rPr>
        <w:t xml:space="preserve"> - Normal-Tangential Coordinates Example in Vehicle’s Center of Mass</w:t>
      </w:r>
    </w:p>
    <w:p w14:paraId="4B002761" w14:textId="77777777"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r w:rsidRPr="002B4AD8">
        <w:rPr>
          <w:rFonts w:eastAsia="Calibri"/>
          <w:szCs w:val="18"/>
        </w:rPr>
        <w:fldChar w:fldCharType="begin"/>
      </w:r>
      <w:r w:rsidRPr="002B4AD8">
        <w:rPr>
          <w:rFonts w:eastAsia="Calibri"/>
          <w:szCs w:val="18"/>
        </w:rPr>
        <w:instrText xml:space="preserve"> REF _Ref12448746 \r \h  \* MERGEFORMAT </w:instrText>
      </w:r>
      <w:r w:rsidRPr="002B4AD8">
        <w:rPr>
          <w:rFonts w:eastAsia="Calibri"/>
          <w:szCs w:val="18"/>
        </w:rPr>
      </w:r>
      <w:r w:rsidRPr="002B4AD8">
        <w:rPr>
          <w:rFonts w:eastAsia="Calibri"/>
          <w:szCs w:val="18"/>
        </w:rPr>
        <w:fldChar w:fldCharType="separate"/>
      </w:r>
      <w:r w:rsidRPr="002B4AD8">
        <w:rPr>
          <w:rFonts w:eastAsia="Calibri"/>
          <w:szCs w:val="18"/>
        </w:rPr>
        <w:t>12</w:t>
      </w:r>
      <w:r w:rsidRPr="002B4AD8">
        <w:rPr>
          <w:rFonts w:eastAsia="Calibri"/>
          <w:szCs w:val="18"/>
        </w:rPr>
        <w:fldChar w:fldCharType="end"/>
      </w:r>
      <w:r w:rsidRPr="002B4AD8">
        <w:rPr>
          <w:rFonts w:eastAsia="Calibri"/>
          <w:szCs w:val="18"/>
        </w:rPr>
        <w:t>] [</w:t>
      </w:r>
      <w:r w:rsidRPr="002B4AD8">
        <w:rPr>
          <w:rFonts w:eastAsia="Calibri"/>
          <w:szCs w:val="18"/>
        </w:rPr>
        <w:fldChar w:fldCharType="begin"/>
      </w:r>
      <w:r w:rsidRPr="002B4AD8">
        <w:rPr>
          <w:rFonts w:eastAsia="Calibri"/>
          <w:szCs w:val="18"/>
        </w:rPr>
        <w:instrText xml:space="preserve"> REF _Ref12448758 \r \h  \* MERGEFORMAT </w:instrText>
      </w:r>
      <w:r w:rsidRPr="002B4AD8">
        <w:rPr>
          <w:rFonts w:eastAsia="Calibri"/>
          <w:szCs w:val="18"/>
        </w:rPr>
      </w:r>
      <w:r w:rsidRPr="002B4AD8">
        <w:rPr>
          <w:rFonts w:eastAsia="Calibri"/>
          <w:szCs w:val="18"/>
        </w:rPr>
        <w:fldChar w:fldCharType="separate"/>
      </w:r>
      <w:r w:rsidRPr="002B4AD8">
        <w:rPr>
          <w:rFonts w:eastAsia="Calibri"/>
          <w:szCs w:val="18"/>
        </w:rPr>
        <w:t>13</w:t>
      </w:r>
      <w:r w:rsidRPr="002B4AD8">
        <w:rPr>
          <w:rFonts w:eastAsia="Calibri"/>
          <w:szCs w:val="18"/>
        </w:rPr>
        <w:fldChar w:fldCharType="end"/>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 By Frenet-Serret definition of coordinates, curvature can be expressed in a vector form that has a direction parallel to the Normal Unit Vector shown in </w:t>
      </w:r>
      <w:r w:rsidRPr="002B4AD8">
        <w:rPr>
          <w:rFonts w:eastAsia="Calibri"/>
          <w:szCs w:val="18"/>
        </w:rPr>
        <w:fldChar w:fldCharType="begin"/>
      </w:r>
      <w:r w:rsidRPr="002B4AD8">
        <w:rPr>
          <w:rFonts w:eastAsia="Calibri"/>
          <w:szCs w:val="18"/>
        </w:rPr>
        <w:instrText xml:space="preserve"> REF _Ref12542446 \h  \* MERGEFORMAT </w:instrText>
      </w:r>
      <w:r w:rsidRPr="002B4AD8">
        <w:rPr>
          <w:rFonts w:eastAsia="Calibri"/>
          <w:szCs w:val="18"/>
        </w:rPr>
      </w:r>
      <w:r w:rsidRPr="002B4AD8">
        <w:rPr>
          <w:rFonts w:eastAsia="Calibri"/>
          <w:szCs w:val="18"/>
        </w:rPr>
        <w:fldChar w:fldCharType="separate"/>
      </w:r>
      <w:r w:rsidRPr="002B4AD8">
        <w:rPr>
          <w:rFonts w:eastAsia="Calibri"/>
          <w:szCs w:val="18"/>
        </w:rPr>
        <w:t>Figure 2</w:t>
      </w:r>
      <w:r w:rsidRPr="002B4AD8">
        <w:rPr>
          <w:rFonts w:eastAsia="Calibri"/>
          <w:szCs w:val="18"/>
        </w:rPr>
        <w:fldChar w:fldCharType="end"/>
      </w:r>
      <w:r w:rsidRPr="002B4AD8">
        <w:rPr>
          <w:rFonts w:eastAsia="Calibri"/>
          <w:szCs w:val="18"/>
        </w:rPr>
        <w:t xml:space="preserve"> .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as long as curvature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Figure. </w:t>
      </w:r>
    </w:p>
    <w:p w14:paraId="367EB987"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A03ECB" w14:textId="77777777" w:rsidR="002B4AD8" w:rsidRPr="002B4AD8" w:rsidRDefault="002B4AD8" w:rsidP="002B4AD8">
      <w:pPr>
        <w:spacing w:after="160" w:line="259" w:lineRule="auto"/>
        <w:jc w:val="both"/>
        <w:rPr>
          <w:rFonts w:eastAsia="Calibri"/>
          <w:szCs w:val="18"/>
        </w:rPr>
      </w:pPr>
      <w:r w:rsidRPr="002B4AD8">
        <w:rPr>
          <w:rFonts w:eastAsia="Calibri"/>
          <w:szCs w:val="18"/>
        </w:rPr>
        <w:t>Circumscribed Circle in Scalene Triangle</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If we let a vector D be the cross product in between the vectors AB and AC, the direction will be pointing out normal to the plane defined by the intersection of AB and AC. By definition of the magnitude for cross product:</w:t>
      </w:r>
    </w:p>
    <w:p w14:paraId="59233180" w14:textId="77777777" w:rsidR="002B4AD8" w:rsidRPr="002B4AD8" w:rsidRDefault="002B4AD8"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7777777"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 in Figure. Let the magnitude of vector E be defined as:</w:t>
      </w:r>
    </w:p>
    <w:p w14:paraId="3F2E0B98" w14:textId="77777777" w:rsidR="002B4AD8" w:rsidRPr="002B4AD8" w:rsidRDefault="002B4AD8"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47FA513"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0FECC876" w14:textId="77777777"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Let the magnitude of vector E be defined as:</w:t>
      </w:r>
    </w:p>
    <w:p w14:paraId="09D30254" w14:textId="77777777" w:rsidR="002B4AD8" w:rsidRPr="002B4AD8" w:rsidRDefault="002B4AD8"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7F0D117A"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2B4AD8"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2B4AD8"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Figure.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2E7ADAB8"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77777777"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 arc segments as it is shown below.</w:t>
      </w:r>
    </w:p>
    <w:p w14:paraId="67EA1AB5"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920" cy="1506592"/>
                    </a:xfrm>
                    <a:prstGeom prst="rect">
                      <a:avLst/>
                    </a:prstGeom>
                  </pic:spPr>
                </pic:pic>
              </a:graphicData>
            </a:graphic>
          </wp:inline>
        </w:drawing>
      </w:r>
    </w:p>
    <w:p w14:paraId="1B0F82D3" w14:textId="77777777" w:rsidR="002B4AD8" w:rsidRPr="002B4AD8" w:rsidRDefault="002B4AD8" w:rsidP="002B4AD8">
      <w:pPr>
        <w:spacing w:after="160" w:line="259" w:lineRule="auto"/>
        <w:jc w:val="both"/>
        <w:rPr>
          <w:rFonts w:eastAsia="Calibri"/>
          <w:szCs w:val="18"/>
        </w:rPr>
      </w:pPr>
      <w:r w:rsidRPr="002B4AD8">
        <w:rPr>
          <w:rFonts w:eastAsia="Calibri"/>
          <w:szCs w:val="18"/>
        </w:rPr>
        <w:t>Scalene Triangle in Arc-Segment</w:t>
      </w:r>
    </w:p>
    <w:p w14:paraId="3D1A8FCD" w14:textId="77777777"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77777777" w:rsidR="002B4AD8" w:rsidRPr="002B4AD8" w:rsidRDefault="002B4AD8" w:rsidP="002B4AD8">
      <w:pPr>
        <w:spacing w:after="160" w:line="259" w:lineRule="auto"/>
        <w:jc w:val="both"/>
        <w:rPr>
          <w:rFonts w:eastAsia="Calibri"/>
          <w:szCs w:val="18"/>
        </w:rPr>
      </w:pPr>
      <w:r w:rsidRPr="002B4AD8">
        <w:rPr>
          <w:rFonts w:eastAsia="Calibri"/>
          <w:szCs w:val="18"/>
        </w:rPr>
        <w:t>Through this definition, it is possible to extend the application of this discrete radius of curvature and applying it to long-discrete arc segments as shown in Figure:</w:t>
      </w:r>
    </w:p>
    <w:p w14:paraId="71FA1A2D" w14:textId="77777777" w:rsidR="002B4AD8" w:rsidRPr="002B4AD8" w:rsidRDefault="002B4AD8" w:rsidP="002B4AD8">
      <w:pPr>
        <w:spacing w:after="160" w:line="259" w:lineRule="auto"/>
        <w:jc w:val="center"/>
        <w:rPr>
          <w:rFonts w:eastAsia="Calibri"/>
          <w:szCs w:val="18"/>
        </w:rP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22CB35B9" w14:textId="77777777" w:rsidR="002B4AD8" w:rsidRPr="002B4AD8" w:rsidRDefault="002B4AD8" w:rsidP="002B4AD8">
      <w:pPr>
        <w:spacing w:after="160" w:line="259" w:lineRule="auto"/>
        <w:jc w:val="both"/>
        <w:rPr>
          <w:rFonts w:eastAsia="Calibri"/>
          <w:szCs w:val="18"/>
        </w:rPr>
      </w:pPr>
      <w:r w:rsidRPr="002B4AD8">
        <w:rPr>
          <w:rFonts w:eastAsia="Calibri"/>
          <w:szCs w:val="18"/>
        </w:rPr>
        <w:t>Road Section with Discrete Sections</w:t>
      </w:r>
    </w:p>
    <w:p w14:paraId="68D8B9F8" w14:textId="77777777" w:rsidR="002B4AD8" w:rsidRPr="002B4AD8" w:rsidRDefault="002B4AD8" w:rsidP="002B4AD8">
      <w:pPr>
        <w:pStyle w:val="Head2"/>
      </w:pPr>
      <w:r>
        <w:t>1.3 Heading Angle Calculations</w:t>
      </w:r>
    </w:p>
    <w:p w14:paraId="5D634F09"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By sampling at a rate of three location points per curvature point, it is possible to create a discrete representation of the road with curvature data. To obtain the heading angle, two options were used. The first one used comes from the well-established definition of heading angle from trigonometric relationships explained in the Appendix:  </w:t>
      </w:r>
    </w:p>
    <w:p w14:paraId="45DBF458" w14:textId="77777777" w:rsidR="002B4AD8" w:rsidRPr="002B4AD8" w:rsidRDefault="002B4AD8" w:rsidP="002B4AD8">
      <w:pPr>
        <w:spacing w:after="160" w:line="259" w:lineRule="auto"/>
        <w:jc w:val="both"/>
        <w:rPr>
          <w:szCs w:val="18"/>
        </w:rPr>
      </w:pPr>
      <m:oMathPara>
        <m:oMath>
          <m:r>
            <w:rPr>
              <w:rFonts w:ascii="Cambria Math" w:eastAsia="Calibri" w:hAnsi="Cambria Math"/>
              <w:szCs w:val="18"/>
            </w:rPr>
            <w:lastRenderedPageBreak/>
            <m:t>θ</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 xml:space="preserve">= </m:t>
          </m:r>
          <m:nary>
            <m:naryPr>
              <m:limLoc m:val="undOvr"/>
              <m:subHide m:val="1"/>
              <m:supHide m:val="1"/>
              <m:ctrlPr>
                <w:rPr>
                  <w:rFonts w:ascii="Cambria Math" w:eastAsia="Calibri" w:hAnsi="Cambria Math"/>
                  <w:i/>
                  <w:szCs w:val="18"/>
                </w:rPr>
              </m:ctrlPr>
            </m:naryPr>
            <m:sub/>
            <m:sup/>
            <m:e>
              <m:r>
                <w:rPr>
                  <w:rFonts w:ascii="Cambria Math" w:eastAsia="Calibri" w:hAnsi="Cambria Math"/>
                  <w:szCs w:val="18"/>
                </w:rPr>
                <m:t>κ</m:t>
              </m:r>
              <m:d>
                <m:dPr>
                  <m:ctrlPr>
                    <w:rPr>
                      <w:rFonts w:ascii="Cambria Math" w:eastAsia="Calibri" w:hAnsi="Cambria Math"/>
                      <w:i/>
                      <w:szCs w:val="18"/>
                    </w:rPr>
                  </m:ctrlPr>
                </m:dPr>
                <m:e>
                  <m:r>
                    <w:rPr>
                      <w:rFonts w:ascii="Cambria Math" w:eastAsia="Calibri" w:hAnsi="Cambria Math"/>
                      <w:szCs w:val="18"/>
                    </w:rPr>
                    <m:t>s</m:t>
                  </m:r>
                </m:e>
              </m:d>
              <m:r>
                <w:rPr>
                  <w:rFonts w:ascii="Cambria Math" w:eastAsia="Calibri" w:hAnsi="Cambria Math"/>
                  <w:szCs w:val="18"/>
                </w:rPr>
                <m:t>ds</m:t>
              </m:r>
            </m:e>
          </m:nary>
        </m:oMath>
      </m:oMathPara>
    </w:p>
    <w:p w14:paraId="2239B946" w14:textId="77777777" w:rsidR="002B4AD8" w:rsidRPr="002B4AD8" w:rsidRDefault="002B4AD8" w:rsidP="002B4AD8">
      <w:pPr>
        <w:spacing w:after="160" w:line="259" w:lineRule="auto"/>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Pr="002B4AD8">
        <w:rPr>
          <w:rFonts w:eastAsia="Calibri"/>
          <w:bCs/>
          <w:szCs w:val="18"/>
        </w:rPr>
        <w:fldChar w:fldCharType="begin"/>
      </w:r>
      <w:r w:rsidRPr="002B4AD8">
        <w:rPr>
          <w:rFonts w:eastAsia="Calibri"/>
          <w:bCs/>
          <w:szCs w:val="18"/>
        </w:rPr>
        <w:instrText xml:space="preserve"> REF _Ref12450306 \r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16</w:t>
      </w:r>
      <w:r w:rsidRPr="002B4AD8">
        <w:rPr>
          <w:rFonts w:eastAsia="Calibri"/>
          <w:bCs/>
          <w:szCs w:val="18"/>
        </w:rPr>
        <w:fldChar w:fldCharType="end"/>
      </w:r>
      <w:r w:rsidRPr="002B4AD8">
        <w:rPr>
          <w:rFonts w:eastAsia="Calibri"/>
          <w:bCs/>
          <w:szCs w:val="18"/>
        </w:rPr>
        <w:t>]. This leads to an approach of curvature generation based on AASHTO road geometry to obtain heading angles. To develop this, a geometric definition of radius of curvature is used to obtain both its magnitude and direction as shown in the Appendix [</w:t>
      </w:r>
      <w:r w:rsidRPr="002B4AD8">
        <w:rPr>
          <w:rFonts w:eastAsia="Calibri"/>
          <w:bCs/>
          <w:szCs w:val="18"/>
        </w:rPr>
        <w:fldChar w:fldCharType="begin"/>
      </w:r>
      <w:r w:rsidRPr="002B4AD8">
        <w:rPr>
          <w:rFonts w:eastAsia="Calibri"/>
          <w:bCs/>
          <w:szCs w:val="18"/>
        </w:rPr>
        <w:instrText xml:space="preserve"> REF _Ref12542927 \r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17</w:t>
      </w:r>
      <w:r w:rsidRPr="002B4AD8">
        <w:rPr>
          <w:rFonts w:eastAsia="Calibri"/>
          <w:bCs/>
          <w:szCs w:val="18"/>
        </w:rPr>
        <w:fldChar w:fldCharType="end"/>
      </w:r>
      <w:r w:rsidRPr="002B4AD8">
        <w:rPr>
          <w:rFonts w:eastAsia="Calibri"/>
          <w:bCs/>
          <w:szCs w:val="18"/>
        </w:rPr>
        <w:t>]. 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[A.2], curvature vectors were plotted with respect to the road segments as shown in </w:t>
      </w:r>
      <w:r w:rsidRPr="002B4AD8">
        <w:rPr>
          <w:rFonts w:eastAsia="Calibri"/>
          <w:bCs/>
          <w:szCs w:val="18"/>
        </w:rPr>
        <w:fldChar w:fldCharType="begin"/>
      </w:r>
      <w:r w:rsidRPr="002B4AD8">
        <w:rPr>
          <w:rFonts w:eastAsia="Calibri"/>
          <w:bCs/>
          <w:szCs w:val="18"/>
        </w:rPr>
        <w:instrText xml:space="preserve"> REF _Ref12610128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3</w:t>
      </w:r>
      <w:r w:rsidRPr="002B4AD8">
        <w:rPr>
          <w:rFonts w:eastAsia="Calibri"/>
          <w:bCs/>
          <w:szCs w:val="18"/>
        </w:rPr>
        <w:fldChar w:fldCharType="end"/>
      </w:r>
      <w:r w:rsidRPr="002B4AD8">
        <w:rPr>
          <w:rFonts w:eastAsia="Calibri"/>
          <w:bCs/>
          <w:szCs w:val="18"/>
        </w:rPr>
        <w:t xml:space="preserve">. The curvature magnitude was plotted with respect to road segments to obtain a base curvature profile as shown in </w:t>
      </w:r>
      <w:r w:rsidRPr="002B4AD8">
        <w:rPr>
          <w:rFonts w:eastAsia="Calibri"/>
          <w:bCs/>
          <w:szCs w:val="18"/>
        </w:rPr>
        <w:fldChar w:fldCharType="begin"/>
      </w:r>
      <w:r w:rsidRPr="002B4AD8">
        <w:rPr>
          <w:rFonts w:eastAsia="Calibri"/>
          <w:bCs/>
          <w:szCs w:val="18"/>
        </w:rPr>
        <w:instrText xml:space="preserve"> REF _Ref12612150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4</w:t>
      </w:r>
      <w:r w:rsidRPr="002B4AD8">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1EE852DB"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51BF63B7" w14:textId="77777777" w:rsidR="002B4AD8" w:rsidRPr="002B4AD8" w:rsidRDefault="002B4AD8" w:rsidP="002B4AD8">
      <w:pPr>
        <w:spacing w:after="160" w:line="259" w:lineRule="auto"/>
        <w:jc w:val="both"/>
        <w:rPr>
          <w:rFonts w:eastAsia="Calibri"/>
          <w:bCs/>
          <w:i/>
          <w:iCs/>
          <w:szCs w:val="18"/>
        </w:rPr>
      </w:pPr>
      <w:bookmarkStart w:id="3" w:name="_Ref12610128"/>
      <w:bookmarkStart w:id="4" w:name="_Ref12610124"/>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3</w:t>
      </w:r>
      <w:r w:rsidRPr="002B4AD8">
        <w:rPr>
          <w:rFonts w:eastAsia="Calibri"/>
          <w:bCs/>
          <w:szCs w:val="18"/>
        </w:rPr>
        <w:fldChar w:fldCharType="end"/>
      </w:r>
      <w:bookmarkEnd w:id="3"/>
      <w:r w:rsidRPr="002B4AD8">
        <w:rPr>
          <w:rFonts w:eastAsia="Calibri"/>
          <w:bCs/>
          <w:i/>
          <w:iCs/>
          <w:szCs w:val="18"/>
        </w:rPr>
        <w:t xml:space="preserve"> - </w:t>
      </w:r>
      <w:bookmarkEnd w:id="4"/>
      <w:r w:rsidRPr="002B4AD8">
        <w:rPr>
          <w:rFonts w:eastAsia="Calibri"/>
          <w:bCs/>
          <w:i/>
          <w:iCs/>
          <w:szCs w:val="18"/>
        </w:rPr>
        <w:t>AASHTO Base Model: Road with Curvature Vectors</w:t>
      </w:r>
    </w:p>
    <w:p w14:paraId="36613A40"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7777777" w:rsidR="002B4AD8" w:rsidRPr="002B4AD8" w:rsidRDefault="002B4AD8" w:rsidP="002B4AD8">
      <w:pPr>
        <w:spacing w:after="160" w:line="259" w:lineRule="auto"/>
        <w:jc w:val="both"/>
        <w:rPr>
          <w:rFonts w:eastAsia="Calibri"/>
          <w:bCs/>
          <w:i/>
          <w:iCs/>
          <w:szCs w:val="18"/>
        </w:rPr>
      </w:pPr>
      <w:bookmarkStart w:id="5" w:name="_Ref12612150"/>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4</w:t>
      </w:r>
      <w:r w:rsidRPr="002B4AD8">
        <w:rPr>
          <w:rFonts w:eastAsia="Calibri"/>
          <w:bCs/>
          <w:szCs w:val="18"/>
        </w:rPr>
        <w:fldChar w:fldCharType="end"/>
      </w:r>
      <w:bookmarkEnd w:id="5"/>
      <w:r w:rsidRPr="002B4AD8">
        <w:rPr>
          <w:rFonts w:eastAsia="Calibri"/>
          <w:bCs/>
          <w:i/>
          <w:iCs/>
          <w:szCs w:val="18"/>
        </w:rPr>
        <w:t xml:space="preserve"> - AASHTO Base Model: Curvature κ vs. Cumulative Curve Length</w:t>
      </w:r>
    </w:p>
    <w:p w14:paraId="035A46BE"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sidRPr="002B4AD8">
        <w:rPr>
          <w:rFonts w:eastAsia="Calibri"/>
          <w:bCs/>
          <w:szCs w:val="18"/>
        </w:rPr>
        <w:fldChar w:fldCharType="begin"/>
      </w:r>
      <w:r w:rsidRPr="002B4AD8">
        <w:rPr>
          <w:rFonts w:eastAsia="Calibri"/>
          <w:bCs/>
          <w:szCs w:val="18"/>
        </w:rPr>
        <w:instrText xml:space="preserve"> REF _Ref12621849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5</w:t>
      </w:r>
      <w:r w:rsidRPr="002B4AD8">
        <w:rPr>
          <w:rFonts w:eastAsia="Calibri"/>
          <w:bCs/>
          <w:szCs w:val="18"/>
        </w:rPr>
        <w:fldChar w:fldCharType="end"/>
      </w:r>
      <w:r w:rsidRPr="002B4AD8">
        <w:rPr>
          <w:rFonts w:eastAsia="Calibri"/>
          <w:bCs/>
          <w:szCs w:val="18"/>
        </w:rPr>
        <w:t xml:space="preserve"> and </w:t>
      </w:r>
      <w:r w:rsidRPr="002B4AD8">
        <w:rPr>
          <w:rFonts w:eastAsia="Calibri"/>
          <w:bCs/>
          <w:szCs w:val="18"/>
        </w:rPr>
        <w:fldChar w:fldCharType="begin"/>
      </w:r>
      <w:r w:rsidRPr="002B4AD8">
        <w:rPr>
          <w:rFonts w:eastAsia="Calibri"/>
          <w:bCs/>
          <w:szCs w:val="18"/>
        </w:rPr>
        <w:instrText xml:space="preserve"> REF _Ref12621898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6</w:t>
      </w:r>
      <w:r w:rsidRPr="002B4AD8">
        <w:rPr>
          <w:rFonts w:eastAsia="Calibri"/>
          <w:bCs/>
          <w:szCs w:val="18"/>
        </w:rPr>
        <w:fldChar w:fldCharType="end"/>
      </w:r>
      <w:r w:rsidRPr="002B4AD8">
        <w:rPr>
          <w:rFonts w:eastAsia="Calibri"/>
          <w:bCs/>
          <w:szCs w:val="18"/>
        </w:rPr>
        <w:t xml:space="preserve">. Results on heading angles with respect to road segments are shown in </w:t>
      </w:r>
      <w:r w:rsidRPr="002B4AD8">
        <w:rPr>
          <w:rFonts w:eastAsia="Calibri"/>
          <w:bCs/>
          <w:szCs w:val="18"/>
        </w:rPr>
        <w:fldChar w:fldCharType="begin"/>
      </w:r>
      <w:r w:rsidRPr="002B4AD8">
        <w:rPr>
          <w:rFonts w:eastAsia="Calibri"/>
          <w:bCs/>
          <w:szCs w:val="18"/>
        </w:rPr>
        <w:instrText xml:space="preserve"> REF _Ref12622043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7</w:t>
      </w:r>
      <w:r w:rsidRPr="002B4AD8">
        <w:rPr>
          <w:rFonts w:eastAsia="Calibri"/>
          <w:bCs/>
          <w:szCs w:val="18"/>
        </w:rPr>
        <w:fldChar w:fldCharType="end"/>
      </w:r>
      <w:r w:rsidRPr="002B4AD8">
        <w:rPr>
          <w:rFonts w:eastAsia="Calibri"/>
          <w:bCs/>
          <w:szCs w:val="18"/>
        </w:rPr>
        <w:t xml:space="preserve">.These resulting angles were used as input data on a controller developed in [Michael]. </w:t>
      </w:r>
    </w:p>
    <w:p w14:paraId="3958A5E4" w14:textId="77777777" w:rsidR="002B4AD8" w:rsidRPr="002B4AD8" w:rsidRDefault="002B4AD8" w:rsidP="002B4AD8">
      <w:pPr>
        <w:spacing w:after="160" w:line="259" w:lineRule="auto"/>
        <w:jc w:val="both"/>
        <w:rPr>
          <w:rFonts w:eastAsia="Calibri"/>
          <w:bCs/>
          <w:szCs w:val="18"/>
        </w:rPr>
      </w:pPr>
    </w:p>
    <w:p w14:paraId="18E0DE84"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05C53AC2" w14:textId="77777777" w:rsidR="002B4AD8" w:rsidRPr="002B4AD8" w:rsidRDefault="002B4AD8" w:rsidP="002B4AD8">
      <w:pPr>
        <w:spacing w:after="160" w:line="259" w:lineRule="auto"/>
        <w:jc w:val="both"/>
        <w:rPr>
          <w:rFonts w:eastAsia="Calibri"/>
          <w:bCs/>
          <w:i/>
          <w:iCs/>
          <w:szCs w:val="18"/>
        </w:rPr>
      </w:pPr>
      <w:bookmarkStart w:id="6" w:name="_Ref12621849"/>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5</w:t>
      </w:r>
      <w:r w:rsidRPr="002B4AD8">
        <w:rPr>
          <w:rFonts w:eastAsia="Calibri"/>
          <w:bCs/>
          <w:szCs w:val="18"/>
        </w:rPr>
        <w:fldChar w:fldCharType="end"/>
      </w:r>
      <w:bookmarkEnd w:id="6"/>
      <w:r w:rsidRPr="002B4AD8">
        <w:rPr>
          <w:rFonts w:eastAsia="Calibri"/>
          <w:bCs/>
          <w:i/>
          <w:iCs/>
          <w:szCs w:val="18"/>
        </w:rPr>
        <w:t xml:space="preserve"> - AASHTO Base Model: Orthogonal Phase Shift Approach</w:t>
      </w:r>
    </w:p>
    <w:p w14:paraId="7A6BDEEB" w14:textId="77777777" w:rsidR="002B4AD8" w:rsidRPr="002B4AD8" w:rsidRDefault="002B4AD8" w:rsidP="002B4AD8">
      <w:pPr>
        <w:spacing w:after="160" w:line="259" w:lineRule="auto"/>
        <w:jc w:val="both"/>
        <w:rPr>
          <w:rFonts w:eastAsia="Calibri"/>
          <w:bCs/>
          <w:i/>
          <w:iCs/>
          <w:szCs w:val="18"/>
        </w:rPr>
      </w:pPr>
    </w:p>
    <w:p w14:paraId="1753D14A" w14:textId="77777777" w:rsidR="002B4AD8" w:rsidRPr="002B4AD8" w:rsidRDefault="002B4AD8" w:rsidP="002B4AD8">
      <w:pPr>
        <w:spacing w:after="160" w:line="259" w:lineRule="auto"/>
        <w:jc w:val="both"/>
        <w:rPr>
          <w:rFonts w:eastAsia="Calibri"/>
          <w:bCs/>
          <w:szCs w:val="18"/>
        </w:rPr>
      </w:pPr>
    </w:p>
    <w:p w14:paraId="0590B75D"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lastRenderedPageBreak/>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1BD71619" w14:textId="77777777" w:rsidR="002B4AD8" w:rsidRPr="002B4AD8" w:rsidRDefault="002B4AD8" w:rsidP="002B4AD8">
      <w:pPr>
        <w:spacing w:after="160" w:line="259" w:lineRule="auto"/>
        <w:jc w:val="both"/>
        <w:rPr>
          <w:rFonts w:eastAsia="Calibri"/>
          <w:bCs/>
          <w:i/>
          <w:iCs/>
          <w:szCs w:val="18"/>
        </w:rPr>
      </w:pPr>
      <w:bookmarkStart w:id="7" w:name="_Ref12621898"/>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6</w:t>
      </w:r>
      <w:r w:rsidRPr="002B4AD8">
        <w:rPr>
          <w:rFonts w:eastAsia="Calibri"/>
          <w:bCs/>
          <w:szCs w:val="18"/>
        </w:rPr>
        <w:fldChar w:fldCharType="end"/>
      </w:r>
      <w:bookmarkEnd w:id="7"/>
      <w:r w:rsidRPr="002B4AD8">
        <w:rPr>
          <w:rFonts w:eastAsia="Calibri"/>
          <w:bCs/>
          <w:i/>
          <w:iCs/>
          <w:szCs w:val="18"/>
        </w:rPr>
        <w:t xml:space="preserve"> - AASHTO Base Model: Numerical Integration Approach</w:t>
      </w:r>
    </w:p>
    <w:p w14:paraId="2577701C" w14:textId="77777777" w:rsidR="002B4AD8" w:rsidRPr="002B4AD8" w:rsidRDefault="002B4AD8" w:rsidP="002B4AD8">
      <w:pPr>
        <w:spacing w:after="160" w:line="259" w:lineRule="auto"/>
        <w:jc w:val="both"/>
        <w:rPr>
          <w:rFonts w:eastAsia="Calibri"/>
          <w:bCs/>
          <w:i/>
          <w:iCs/>
          <w:szCs w:val="18"/>
        </w:rPr>
      </w:pPr>
    </w:p>
    <w:p w14:paraId="7214B065"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7777777" w:rsidR="002B4AD8" w:rsidRPr="002B4AD8" w:rsidRDefault="002B4AD8" w:rsidP="002B4AD8">
      <w:pPr>
        <w:spacing w:after="160" w:line="259" w:lineRule="auto"/>
        <w:jc w:val="both"/>
        <w:rPr>
          <w:rFonts w:eastAsia="Calibri"/>
          <w:bCs/>
          <w:i/>
          <w:iCs/>
          <w:szCs w:val="18"/>
        </w:rPr>
      </w:pPr>
      <w:bookmarkStart w:id="8" w:name="_Ref12622043"/>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7</w:t>
      </w:r>
      <w:r w:rsidRPr="002B4AD8">
        <w:rPr>
          <w:rFonts w:eastAsia="Calibri"/>
          <w:bCs/>
          <w:szCs w:val="18"/>
        </w:rPr>
        <w:fldChar w:fldCharType="end"/>
      </w:r>
      <w:bookmarkEnd w:id="8"/>
      <w:r w:rsidRPr="002B4AD8">
        <w:rPr>
          <w:rFonts w:eastAsia="Calibri"/>
          <w:bCs/>
          <w:i/>
          <w:iCs/>
          <w:szCs w:val="18"/>
        </w:rPr>
        <w:t xml:space="preserve"> - AASHTO Base Model: Road with Velocity Vectors</w:t>
      </w:r>
    </w:p>
    <w:p w14:paraId="47854540" w14:textId="77777777" w:rsidR="002B4AD8" w:rsidRPr="002B4AD8" w:rsidRDefault="002B4AD8" w:rsidP="002B4AD8">
      <w:pPr>
        <w:pStyle w:val="Head2"/>
      </w:pPr>
      <w:r>
        <w:t>2.2 Google Earth Model</w:t>
      </w:r>
    </w:p>
    <w:p w14:paraId="5EBE9019"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aforementioned discrete geometry approach are shown in </w:t>
      </w:r>
      <w:r w:rsidRPr="002B4AD8">
        <w:rPr>
          <w:rFonts w:eastAsia="Calibri"/>
          <w:bCs/>
          <w:szCs w:val="18"/>
        </w:rPr>
        <w:fldChar w:fldCharType="begin"/>
      </w:r>
      <w:r w:rsidRPr="002B4AD8">
        <w:rPr>
          <w:rFonts w:eastAsia="Calibri"/>
          <w:bCs/>
          <w:szCs w:val="18"/>
        </w:rPr>
        <w:instrText xml:space="preserve"> REF _Ref12622718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8</w:t>
      </w:r>
      <w:r w:rsidRPr="002B4AD8">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straight line section. The curvature magnitude with respect to length was also plotted in </w:t>
      </w:r>
      <w:r w:rsidRPr="002B4AD8">
        <w:rPr>
          <w:rFonts w:eastAsia="Calibri"/>
          <w:bCs/>
          <w:szCs w:val="18"/>
        </w:rPr>
        <w:fldChar w:fldCharType="begin"/>
      </w:r>
      <w:r w:rsidRPr="002B4AD8">
        <w:rPr>
          <w:rFonts w:eastAsia="Calibri"/>
          <w:bCs/>
          <w:szCs w:val="18"/>
        </w:rPr>
        <w:instrText xml:space="preserve"> REF _Ref12623737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9</w:t>
      </w:r>
      <w:r w:rsidRPr="002B4AD8">
        <w:rPr>
          <w:rFonts w:eastAsia="Calibri"/>
          <w:bCs/>
          <w:szCs w:val="18"/>
        </w:rPr>
        <w:fldChar w:fldCharType="end"/>
      </w:r>
      <w:r w:rsidRPr="002B4AD8">
        <w:rPr>
          <w:rFonts w:eastAsia="Calibri"/>
          <w:bCs/>
          <w:szCs w:val="18"/>
        </w:rPr>
        <w:t xml:space="preserve"> 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6F0C057C"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3B3B53F8" w14:textId="77777777" w:rsidR="002B4AD8" w:rsidRPr="002B4AD8" w:rsidRDefault="002B4AD8" w:rsidP="002B4AD8">
      <w:pPr>
        <w:spacing w:after="160" w:line="259" w:lineRule="auto"/>
        <w:jc w:val="both"/>
        <w:rPr>
          <w:rFonts w:eastAsia="Calibri"/>
          <w:bCs/>
          <w:i/>
          <w:iCs/>
          <w:szCs w:val="18"/>
        </w:rPr>
      </w:pPr>
      <w:bookmarkStart w:id="9" w:name="_Ref12622718"/>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8</w:t>
      </w:r>
      <w:r w:rsidRPr="002B4AD8">
        <w:rPr>
          <w:rFonts w:eastAsia="Calibri"/>
          <w:bCs/>
          <w:szCs w:val="18"/>
        </w:rPr>
        <w:fldChar w:fldCharType="end"/>
      </w:r>
      <w:bookmarkEnd w:id="9"/>
      <w:r w:rsidRPr="002B4AD8">
        <w:rPr>
          <w:rFonts w:eastAsia="Calibri"/>
          <w:bCs/>
          <w:i/>
          <w:iCs/>
          <w:szCs w:val="18"/>
        </w:rPr>
        <w:t xml:space="preserve"> - Google Earth Model: Road with Velocity Vectors</w:t>
      </w:r>
    </w:p>
    <w:p w14:paraId="6E11168D"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77777777" w:rsidR="002B4AD8" w:rsidRPr="002B4AD8" w:rsidRDefault="002B4AD8" w:rsidP="002B4AD8">
      <w:pPr>
        <w:spacing w:after="160" w:line="259" w:lineRule="auto"/>
        <w:jc w:val="both"/>
        <w:rPr>
          <w:rFonts w:eastAsia="Calibri"/>
          <w:bCs/>
          <w:i/>
          <w:iCs/>
          <w:szCs w:val="18"/>
        </w:rPr>
      </w:pPr>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9</w:t>
      </w:r>
      <w:r w:rsidRPr="002B4AD8">
        <w:rPr>
          <w:rFonts w:eastAsia="Calibri"/>
          <w:bCs/>
          <w:szCs w:val="18"/>
        </w:rPr>
        <w:fldChar w:fldCharType="end"/>
      </w:r>
      <w:r w:rsidRPr="002B4AD8">
        <w:rPr>
          <w:rFonts w:eastAsia="Calibri"/>
          <w:bCs/>
          <w:i/>
          <w:iCs/>
          <w:szCs w:val="18"/>
        </w:rPr>
        <w:t xml:space="preserve"> - Google Earth Model: Curvature κ vs. Cumulative Curve Length</w:t>
      </w:r>
    </w:p>
    <w:p w14:paraId="7682336A"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The method was not efficient in calculating curvature magnitudes, but the direction of the heading angle obtained from the orthogonal phase shift still provided comparable results to those found by calculating with AASHTO as shown in </w:t>
      </w:r>
      <w:r w:rsidRPr="002B4AD8">
        <w:rPr>
          <w:rFonts w:eastAsia="Calibri"/>
          <w:bCs/>
          <w:szCs w:val="18"/>
        </w:rPr>
        <w:fldChar w:fldCharType="begin"/>
      </w:r>
      <w:r w:rsidRPr="002B4AD8">
        <w:rPr>
          <w:rFonts w:eastAsia="Calibri"/>
          <w:bCs/>
          <w:szCs w:val="18"/>
        </w:rPr>
        <w:instrText xml:space="preserve"> REF _Ref12628350 \h  \* MERGEFORMAT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10</w:t>
      </w:r>
      <w:r w:rsidRPr="002B4AD8">
        <w:rPr>
          <w:rFonts w:eastAsia="Calibri"/>
          <w:bCs/>
          <w:szCs w:val="18"/>
        </w:rPr>
        <w:fldChar w:fldCharType="end"/>
      </w:r>
      <w:r w:rsidRPr="002B4AD8">
        <w:rPr>
          <w:rFonts w:eastAsia="Calibri"/>
          <w:bCs/>
          <w:szCs w:val="18"/>
        </w:rPr>
        <w:t xml:space="preserve">. Similarly, the resulting velocity vectors to guide the vehicle provide a suitable heading direction as shown in </w:t>
      </w:r>
      <w:r w:rsidRPr="002B4AD8">
        <w:rPr>
          <w:rFonts w:eastAsia="Calibri"/>
          <w:bCs/>
          <w:szCs w:val="18"/>
        </w:rPr>
        <w:fldChar w:fldCharType="begin"/>
      </w:r>
      <w:r w:rsidRPr="002B4AD8">
        <w:rPr>
          <w:rFonts w:eastAsia="Calibri"/>
          <w:bCs/>
          <w:szCs w:val="18"/>
        </w:rPr>
        <w:instrText xml:space="preserve"> REF _Ref13063372 \h </w:instrText>
      </w:r>
      <w:r w:rsidRPr="002B4AD8">
        <w:rPr>
          <w:rFonts w:eastAsia="Calibri"/>
          <w:bCs/>
          <w:szCs w:val="18"/>
        </w:rPr>
      </w:r>
      <w:r w:rsidRPr="002B4AD8">
        <w:rPr>
          <w:rFonts w:eastAsia="Calibri"/>
          <w:bCs/>
          <w:szCs w:val="18"/>
        </w:rPr>
        <w:fldChar w:fldCharType="separate"/>
      </w:r>
      <w:r w:rsidRPr="002B4AD8">
        <w:rPr>
          <w:rFonts w:eastAsia="Calibri"/>
          <w:bCs/>
          <w:szCs w:val="18"/>
        </w:rPr>
        <w:t>Figure 11</w:t>
      </w:r>
      <w:r w:rsidRPr="002B4AD8">
        <w:rPr>
          <w:rFonts w:eastAsia="Calibri"/>
          <w:bCs/>
          <w:szCs w:val="18"/>
        </w:rPr>
        <w:fldChar w:fldCharType="end"/>
      </w:r>
      <w:r w:rsidRPr="002B4AD8">
        <w:rPr>
          <w:rFonts w:eastAsia="Calibri"/>
          <w:bCs/>
          <w:szCs w:val="18"/>
        </w:rPr>
        <w:t xml:space="preserve">. These resulting angles were used as input data on a controller developed in [Michael] to study the efficiency of navigating with this input information. </w:t>
      </w:r>
    </w:p>
    <w:p w14:paraId="7BFB52DB"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lastRenderedPageBreak/>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3A68461" w14:textId="77777777" w:rsidR="002B4AD8" w:rsidRPr="002B4AD8" w:rsidRDefault="002B4AD8" w:rsidP="002B4AD8">
      <w:pPr>
        <w:spacing w:after="160" w:line="259" w:lineRule="auto"/>
        <w:jc w:val="both"/>
        <w:rPr>
          <w:rFonts w:eastAsia="Calibri"/>
          <w:bCs/>
          <w:i/>
          <w:iCs/>
          <w:szCs w:val="18"/>
        </w:rPr>
      </w:pPr>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10</w:t>
      </w:r>
      <w:r w:rsidRPr="002B4AD8">
        <w:rPr>
          <w:rFonts w:eastAsia="Calibri"/>
          <w:bCs/>
          <w:szCs w:val="18"/>
        </w:rPr>
        <w:fldChar w:fldCharType="end"/>
      </w:r>
      <w:r w:rsidRPr="002B4AD8">
        <w:rPr>
          <w:rFonts w:eastAsia="Calibri"/>
          <w:bCs/>
          <w:i/>
          <w:iCs/>
          <w:szCs w:val="18"/>
        </w:rPr>
        <w:t xml:space="preserve"> - Google Earth Model: Orthogonal Phase Shift Approach</w:t>
      </w:r>
    </w:p>
    <w:p w14:paraId="563181EF" w14:textId="77777777" w:rsidR="002B4AD8" w:rsidRPr="002B4AD8" w:rsidRDefault="002B4AD8" w:rsidP="002B4AD8">
      <w:pPr>
        <w:spacing w:after="160" w:line="259" w:lineRule="auto"/>
        <w:jc w:val="both"/>
        <w:rPr>
          <w:rFonts w:eastAsia="Calibri"/>
          <w:bCs/>
          <w:szCs w:val="18"/>
        </w:rPr>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4452A20A" w14:textId="77777777" w:rsidR="002B4AD8" w:rsidRPr="002B4AD8" w:rsidRDefault="002B4AD8" w:rsidP="002B4AD8">
      <w:pPr>
        <w:spacing w:after="160" w:line="259" w:lineRule="auto"/>
        <w:jc w:val="both"/>
        <w:rPr>
          <w:rFonts w:eastAsia="Calibri"/>
          <w:bCs/>
          <w:i/>
          <w:iCs/>
          <w:szCs w:val="18"/>
        </w:rPr>
      </w:pPr>
      <w:r w:rsidRPr="002B4AD8">
        <w:rPr>
          <w:rFonts w:eastAsia="Calibri"/>
          <w:bCs/>
          <w:i/>
          <w:iCs/>
          <w:szCs w:val="18"/>
        </w:rPr>
        <w:t xml:space="preserve">Figure </w:t>
      </w:r>
      <w:r w:rsidRPr="002B4AD8">
        <w:rPr>
          <w:rFonts w:eastAsia="Calibri"/>
          <w:bCs/>
          <w:i/>
          <w:iCs/>
          <w:szCs w:val="18"/>
        </w:rPr>
        <w:fldChar w:fldCharType="begin"/>
      </w:r>
      <w:r w:rsidRPr="002B4AD8">
        <w:rPr>
          <w:rFonts w:eastAsia="Calibri"/>
          <w:bCs/>
          <w:i/>
          <w:iCs/>
          <w:szCs w:val="18"/>
        </w:rPr>
        <w:instrText xml:space="preserve"> SEQ Figure \* ARABIC </w:instrText>
      </w:r>
      <w:r w:rsidRPr="002B4AD8">
        <w:rPr>
          <w:rFonts w:eastAsia="Calibri"/>
          <w:bCs/>
          <w:i/>
          <w:iCs/>
          <w:szCs w:val="18"/>
        </w:rPr>
        <w:fldChar w:fldCharType="separate"/>
      </w:r>
      <w:r w:rsidRPr="002B4AD8">
        <w:rPr>
          <w:rFonts w:eastAsia="Calibri"/>
          <w:bCs/>
          <w:i/>
          <w:iCs/>
          <w:szCs w:val="18"/>
        </w:rPr>
        <w:t>11</w:t>
      </w:r>
      <w:r w:rsidRPr="002B4AD8">
        <w:rPr>
          <w:rFonts w:eastAsia="Calibri"/>
          <w:bCs/>
          <w:szCs w:val="18"/>
        </w:rPr>
        <w:fldChar w:fldCharType="end"/>
      </w:r>
      <w:r w:rsidRPr="002B4AD8">
        <w:rPr>
          <w:rFonts w:eastAsia="Calibri"/>
          <w:bCs/>
          <w:i/>
          <w:iCs/>
          <w:szCs w:val="18"/>
        </w:rPr>
        <w:t xml:space="preserve"> - Google Earth Model: Road with Velocity Vectors</w:t>
      </w:r>
    </w:p>
    <w:p w14:paraId="311F28E8" w14:textId="77777777" w:rsidR="002B4AD8" w:rsidRDefault="002B4AD8" w:rsidP="002B4AD8">
      <w:pPr>
        <w:pStyle w:val="Head1"/>
      </w:pPr>
      <w:r>
        <w:t>Recommendations</w:t>
      </w:r>
    </w:p>
    <w:p w14:paraId="13712CDE" w14:textId="77777777" w:rsidR="00274C68" w:rsidRPr="005F4F92" w:rsidRDefault="00274C68" w:rsidP="00274C68">
      <w:pPr>
        <w:pStyle w:val="TableTitle"/>
      </w:pPr>
      <w:r>
        <w:t>Table 1. This is an example of a table and table title. For tables, the recommended size is 3.5 inches. Table titles are 8 point, SAE Blue</w:t>
      </w:r>
      <w:r w:rsidR="00466818">
        <w:t>,</w:t>
      </w:r>
      <w:r>
        <w:t xml:space="preserve"> and are placed above the table. The Normal Table Text style tag should be applied to the table text.</w:t>
      </w:r>
    </w:p>
    <w:tbl>
      <w:tblPr>
        <w:tblStyle w:val="TableGridCenter"/>
        <w:tblW w:w="5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82"/>
        <w:gridCol w:w="2458"/>
      </w:tblGrid>
      <w:tr w:rsidR="00274C68" w:rsidRPr="00A319AC" w14:paraId="258C6488" w14:textId="77777777" w:rsidTr="002B4AD8">
        <w:trPr>
          <w:trHeight w:hRule="exact" w:val="270"/>
        </w:trPr>
        <w:tc>
          <w:tcPr>
            <w:tcW w:w="2582" w:type="dxa"/>
          </w:tcPr>
          <w:p w14:paraId="77D2F94B" w14:textId="77777777" w:rsidR="00274C68" w:rsidRPr="00BA647B" w:rsidRDefault="00274C68" w:rsidP="002B4AD8">
            <w:pPr>
              <w:pStyle w:val="NormalTableText"/>
            </w:pPr>
            <w:r w:rsidRPr="00BA647B">
              <w:t>Displaced volume</w:t>
            </w:r>
          </w:p>
        </w:tc>
        <w:tc>
          <w:tcPr>
            <w:tcW w:w="2458" w:type="dxa"/>
          </w:tcPr>
          <w:p w14:paraId="73B2985F" w14:textId="77777777" w:rsidR="00274C68" w:rsidRPr="00BA647B" w:rsidRDefault="00274C68" w:rsidP="002B4AD8">
            <w:pPr>
              <w:pStyle w:val="NormalTableText"/>
            </w:pPr>
            <w:r w:rsidRPr="00BA647B">
              <w:t>1966 cc</w:t>
            </w:r>
          </w:p>
        </w:tc>
      </w:tr>
      <w:tr w:rsidR="00274C68" w:rsidRPr="00A319AC" w14:paraId="39D23945" w14:textId="77777777" w:rsidTr="002B4AD8">
        <w:trPr>
          <w:trHeight w:hRule="exact" w:val="270"/>
        </w:trPr>
        <w:tc>
          <w:tcPr>
            <w:tcW w:w="2582" w:type="dxa"/>
          </w:tcPr>
          <w:p w14:paraId="15F97E2A" w14:textId="77777777" w:rsidR="00274C68" w:rsidRPr="00BA647B" w:rsidRDefault="00274C68" w:rsidP="002B4AD8">
            <w:pPr>
              <w:pStyle w:val="NormalTableText"/>
            </w:pPr>
            <w:r w:rsidRPr="00BA647B">
              <w:t>Stroke</w:t>
            </w:r>
          </w:p>
        </w:tc>
        <w:tc>
          <w:tcPr>
            <w:tcW w:w="2458" w:type="dxa"/>
          </w:tcPr>
          <w:p w14:paraId="1F69D30C" w14:textId="77777777" w:rsidR="00274C68" w:rsidRPr="00BA647B" w:rsidRDefault="00274C68" w:rsidP="002B4AD8">
            <w:pPr>
              <w:pStyle w:val="NormalTableText"/>
            </w:pPr>
            <w:smartTag w:uri="urn:schemas-microsoft-com:office:smarttags" w:element="metricconverter">
              <w:smartTagPr>
                <w:attr w:name="w:st" w:val="on"/>
                <w:attr w:name="ProductID" w:val="154 mm"/>
              </w:smartTagPr>
              <w:r w:rsidRPr="00BA647B">
                <w:t>154 mm</w:t>
              </w:r>
            </w:smartTag>
            <w:r w:rsidRPr="00BA647B">
              <w:t xml:space="preserve"> </w:t>
            </w:r>
          </w:p>
        </w:tc>
      </w:tr>
      <w:tr w:rsidR="00274C68" w:rsidRPr="00A319AC" w14:paraId="5B563FA9" w14:textId="77777777" w:rsidTr="002B4AD8">
        <w:trPr>
          <w:trHeight w:hRule="exact" w:val="270"/>
        </w:trPr>
        <w:tc>
          <w:tcPr>
            <w:tcW w:w="2582" w:type="dxa"/>
          </w:tcPr>
          <w:p w14:paraId="50EBD199" w14:textId="77777777" w:rsidR="00274C68" w:rsidRPr="00BA647B" w:rsidRDefault="00274C68" w:rsidP="002B4AD8">
            <w:pPr>
              <w:pStyle w:val="NormalTableText"/>
            </w:pPr>
            <w:r w:rsidRPr="00BA647B">
              <w:t>Bore</w:t>
            </w:r>
          </w:p>
        </w:tc>
        <w:tc>
          <w:tcPr>
            <w:tcW w:w="2458" w:type="dxa"/>
          </w:tcPr>
          <w:p w14:paraId="01D4CA01" w14:textId="77777777" w:rsidR="00274C68" w:rsidRPr="00BA647B" w:rsidRDefault="00274C68" w:rsidP="002B4AD8">
            <w:pPr>
              <w:pStyle w:val="NormalTableText"/>
            </w:pPr>
            <w:smartTag w:uri="urn:schemas-microsoft-com:office:smarttags" w:element="metricconverter">
              <w:smartTagPr>
                <w:attr w:name="w:st" w:val="on"/>
                <w:attr w:name="ProductID" w:val="127.5 mm"/>
              </w:smartTagPr>
              <w:r w:rsidRPr="00BA647B">
                <w:t>127.5 mm</w:t>
              </w:r>
            </w:smartTag>
            <w:r w:rsidRPr="00BA647B">
              <w:t xml:space="preserve"> </w:t>
            </w:r>
          </w:p>
        </w:tc>
      </w:tr>
      <w:tr w:rsidR="00274C68" w:rsidRPr="00A319AC" w14:paraId="0F77D171" w14:textId="77777777" w:rsidTr="002B4AD8">
        <w:trPr>
          <w:trHeight w:hRule="exact" w:val="270"/>
        </w:trPr>
        <w:tc>
          <w:tcPr>
            <w:tcW w:w="2582" w:type="dxa"/>
          </w:tcPr>
          <w:p w14:paraId="16D51230" w14:textId="77777777" w:rsidR="00274C68" w:rsidRPr="00BA647B" w:rsidRDefault="00274C68" w:rsidP="002B4AD8">
            <w:pPr>
              <w:pStyle w:val="NormalTableText"/>
            </w:pPr>
            <w:r w:rsidRPr="00BA647B">
              <w:t>Connecting Rod</w:t>
            </w:r>
          </w:p>
        </w:tc>
        <w:tc>
          <w:tcPr>
            <w:tcW w:w="2458" w:type="dxa"/>
          </w:tcPr>
          <w:p w14:paraId="0727731D" w14:textId="77777777" w:rsidR="00274C68" w:rsidRPr="00BA647B" w:rsidRDefault="00274C68" w:rsidP="002B4AD8">
            <w:pPr>
              <w:pStyle w:val="NormalTableText"/>
            </w:pPr>
            <w:smartTag w:uri="urn:schemas-microsoft-com:office:smarttags" w:element="metricconverter">
              <w:smartTagPr>
                <w:attr w:name="w:st" w:val="on"/>
                <w:attr w:name="ProductID" w:val="255 mm"/>
              </w:smartTagPr>
              <w:r w:rsidRPr="00BA647B">
                <w:t>255 mm</w:t>
              </w:r>
            </w:smartTag>
            <w:r w:rsidRPr="00BA647B">
              <w:t xml:space="preserve"> </w:t>
            </w:r>
          </w:p>
        </w:tc>
      </w:tr>
      <w:tr w:rsidR="00274C68" w:rsidRPr="00A319AC" w14:paraId="0A951E68" w14:textId="77777777" w:rsidTr="002B4AD8">
        <w:trPr>
          <w:trHeight w:hRule="exact" w:val="270"/>
        </w:trPr>
        <w:tc>
          <w:tcPr>
            <w:tcW w:w="2582" w:type="dxa"/>
          </w:tcPr>
          <w:p w14:paraId="02AA8E7B" w14:textId="77777777" w:rsidR="00274C68" w:rsidRPr="00BA647B" w:rsidRDefault="00274C68" w:rsidP="002B4AD8">
            <w:pPr>
              <w:pStyle w:val="NormalTableText"/>
            </w:pPr>
            <w:r w:rsidRPr="00BA647B">
              <w:t>Compression ratio</w:t>
            </w:r>
          </w:p>
        </w:tc>
        <w:tc>
          <w:tcPr>
            <w:tcW w:w="2458" w:type="dxa"/>
          </w:tcPr>
          <w:p w14:paraId="6428C186" w14:textId="77777777" w:rsidR="00274C68" w:rsidRPr="00BA647B" w:rsidRDefault="00274C68" w:rsidP="002B4AD8">
            <w:pPr>
              <w:pStyle w:val="NormalTableText"/>
            </w:pPr>
            <w:r w:rsidRPr="00BA647B">
              <w:t>1</w:t>
            </w:r>
            <w:r>
              <w:t>4.3:</w:t>
            </w:r>
            <w:r w:rsidRPr="00BA647B">
              <w:t>1</w:t>
            </w:r>
          </w:p>
        </w:tc>
      </w:tr>
      <w:tr w:rsidR="00274C68" w:rsidRPr="00A319AC" w14:paraId="34454CBB" w14:textId="77777777" w:rsidTr="002B4AD8">
        <w:trPr>
          <w:trHeight w:hRule="exact" w:val="270"/>
        </w:trPr>
        <w:tc>
          <w:tcPr>
            <w:tcW w:w="2582" w:type="dxa"/>
          </w:tcPr>
          <w:p w14:paraId="15BC3567" w14:textId="77777777" w:rsidR="00274C68" w:rsidRPr="00BA647B" w:rsidRDefault="00274C68" w:rsidP="002B4AD8">
            <w:pPr>
              <w:pStyle w:val="NormalTableText"/>
            </w:pPr>
            <w:r w:rsidRPr="00BA647B">
              <w:t>Number of Valves</w:t>
            </w:r>
          </w:p>
        </w:tc>
        <w:tc>
          <w:tcPr>
            <w:tcW w:w="2458" w:type="dxa"/>
          </w:tcPr>
          <w:p w14:paraId="70597E0B" w14:textId="77777777" w:rsidR="00274C68" w:rsidRPr="00BA647B" w:rsidRDefault="00274C68" w:rsidP="002B4AD8">
            <w:pPr>
              <w:pStyle w:val="NormalTableText"/>
            </w:pPr>
            <w:r w:rsidRPr="00BA647B">
              <w:t>4</w:t>
            </w:r>
          </w:p>
        </w:tc>
      </w:tr>
      <w:tr w:rsidR="00274C68" w:rsidRPr="00A319AC" w14:paraId="2F2C0554" w14:textId="77777777" w:rsidTr="002B4AD8">
        <w:trPr>
          <w:trHeight w:hRule="exact" w:val="270"/>
        </w:trPr>
        <w:tc>
          <w:tcPr>
            <w:tcW w:w="2582" w:type="dxa"/>
          </w:tcPr>
          <w:p w14:paraId="619D6897" w14:textId="77777777" w:rsidR="00274C68" w:rsidRPr="00BA647B" w:rsidRDefault="00274C68" w:rsidP="002B4AD8">
            <w:pPr>
              <w:pStyle w:val="NormalTableText"/>
            </w:pPr>
            <w:r w:rsidRPr="00BA647B">
              <w:t>Exhaust Valve Open</w:t>
            </w:r>
          </w:p>
        </w:tc>
        <w:tc>
          <w:tcPr>
            <w:tcW w:w="2458" w:type="dxa"/>
          </w:tcPr>
          <w:p w14:paraId="6EC24DB5" w14:textId="77777777" w:rsidR="00274C68" w:rsidRPr="00BA647B" w:rsidRDefault="00274C68" w:rsidP="002B4AD8">
            <w:pPr>
              <w:pStyle w:val="NormalTableText"/>
            </w:pPr>
            <w:r w:rsidRPr="00BA647B">
              <w:t>34° BBDC @ 0.15 mm lift</w:t>
            </w:r>
          </w:p>
        </w:tc>
      </w:tr>
      <w:tr w:rsidR="00274C68" w:rsidRPr="00A319AC" w14:paraId="51A47527" w14:textId="77777777" w:rsidTr="002B4AD8">
        <w:trPr>
          <w:trHeight w:hRule="exact" w:val="270"/>
        </w:trPr>
        <w:tc>
          <w:tcPr>
            <w:tcW w:w="2582" w:type="dxa"/>
          </w:tcPr>
          <w:p w14:paraId="46D522A2" w14:textId="77777777" w:rsidR="00274C68" w:rsidRPr="00BA647B" w:rsidRDefault="00274C68" w:rsidP="002B4AD8">
            <w:pPr>
              <w:pStyle w:val="NormalTableText"/>
            </w:pPr>
            <w:r w:rsidRPr="00BA647B">
              <w:t>Exhaust Valve Close</w:t>
            </w:r>
          </w:p>
        </w:tc>
        <w:tc>
          <w:tcPr>
            <w:tcW w:w="2458" w:type="dxa"/>
          </w:tcPr>
          <w:p w14:paraId="799E86C0" w14:textId="77777777" w:rsidR="00274C68" w:rsidRPr="00BA647B" w:rsidRDefault="00274C68" w:rsidP="002B4AD8">
            <w:pPr>
              <w:pStyle w:val="NormalTableText"/>
            </w:pPr>
            <w:r w:rsidRPr="00BA647B">
              <w:t>6° BTDC @ 0.15 mm lift</w:t>
            </w:r>
          </w:p>
        </w:tc>
      </w:tr>
      <w:tr w:rsidR="00274C68" w:rsidRPr="00A319AC" w14:paraId="0E218C81" w14:textId="77777777" w:rsidTr="002B4AD8">
        <w:trPr>
          <w:trHeight w:hRule="exact" w:val="270"/>
        </w:trPr>
        <w:tc>
          <w:tcPr>
            <w:tcW w:w="2582" w:type="dxa"/>
          </w:tcPr>
          <w:p w14:paraId="2D2F2752" w14:textId="77777777" w:rsidR="00274C68" w:rsidRPr="00BA647B" w:rsidRDefault="00274C68" w:rsidP="002B4AD8">
            <w:pPr>
              <w:pStyle w:val="NormalTableText"/>
            </w:pPr>
            <w:r w:rsidRPr="00BA647B">
              <w:t>Inlet Valve Open</w:t>
            </w:r>
          </w:p>
        </w:tc>
        <w:tc>
          <w:tcPr>
            <w:tcW w:w="2458" w:type="dxa"/>
          </w:tcPr>
          <w:p w14:paraId="05043994" w14:textId="77777777" w:rsidR="00274C68" w:rsidRPr="00BA647B" w:rsidRDefault="00274C68" w:rsidP="002B4AD8">
            <w:pPr>
              <w:pStyle w:val="NormalTableText"/>
            </w:pPr>
            <w:r w:rsidRPr="00BA647B">
              <w:t>2°  BTDC @ 0.15 mm lift</w:t>
            </w:r>
          </w:p>
        </w:tc>
      </w:tr>
    </w:tbl>
    <w:p w14:paraId="3817EB02" w14:textId="77777777" w:rsidR="00274C68" w:rsidRDefault="00274C68" w:rsidP="00274C68"/>
    <w:p w14:paraId="089F83C5" w14:textId="77777777" w:rsidR="00FD3482" w:rsidRDefault="00FD3482" w:rsidP="005B6432">
      <w:pPr>
        <w:pStyle w:val="Figure"/>
      </w:pPr>
      <w:r w:rsidRPr="00FD3482">
        <w:rPr>
          <w:noProof/>
        </w:rPr>
        <w:drawing>
          <wp:inline distT="0" distB="0" distL="0" distR="0" wp14:anchorId="196003FD" wp14:editId="1385B630">
            <wp:extent cx="3200400" cy="2234461"/>
            <wp:effectExtent l="0" t="0" r="0" b="0"/>
            <wp:docPr id="1" name="Picture 0" descr="2010-01-0033_fig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1-0033_fig0002.jpg"/>
                    <pic:cNvPicPr/>
                  </pic:nvPicPr>
                  <pic:blipFill>
                    <a:blip r:embed="rId30" cstate="print"/>
                    <a:stretch>
                      <a:fillRect/>
                    </a:stretch>
                  </pic:blipFill>
                  <pic:spPr>
                    <a:xfrm>
                      <a:off x="0" y="0"/>
                      <a:ext cx="3200400" cy="2234461"/>
                    </a:xfrm>
                    <a:prstGeom prst="rect">
                      <a:avLst/>
                    </a:prstGeom>
                  </pic:spPr>
                </pic:pic>
              </a:graphicData>
            </a:graphic>
          </wp:inline>
        </w:drawing>
      </w:r>
    </w:p>
    <w:p w14:paraId="6A8EE073" w14:textId="77777777" w:rsidR="00FD3482" w:rsidRPr="00366EC9" w:rsidRDefault="00327F61" w:rsidP="00FD3482">
      <w:pPr>
        <w:pStyle w:val="FigureCaption"/>
      </w:pPr>
      <w:r>
        <w:t>Figure 1.</w:t>
      </w:r>
      <w:r w:rsidR="00FD3482">
        <w:t xml:space="preserve"> </w:t>
      </w:r>
      <w:r w:rsidR="00C511C8">
        <w:t>E</w:t>
      </w:r>
      <w:r w:rsidR="008C19F5">
        <w:t xml:space="preserve">xample of a figure and figure caption. The sample figure has been sized </w:t>
      </w:r>
      <w:r w:rsidR="00A97E1A">
        <w:t xml:space="preserve">to </w:t>
      </w:r>
      <w:r w:rsidR="008C19F5">
        <w:t>3.5</w:t>
      </w:r>
      <w:r w:rsidR="00615BE0">
        <w:t xml:space="preserve"> </w:t>
      </w:r>
      <w:r w:rsidR="008C19F5">
        <w:t>inches wide,</w:t>
      </w:r>
      <w:r w:rsidR="00A97E1A">
        <w:t xml:space="preserve"> which is the recommended size</w:t>
      </w:r>
      <w:r w:rsidR="008C19F5">
        <w:t>.</w:t>
      </w:r>
      <w:r w:rsidR="00F26681">
        <w:t xml:space="preserve"> Captions for figures are 8</w:t>
      </w:r>
      <w:r w:rsidR="00B10F00">
        <w:t xml:space="preserve"> p</w:t>
      </w:r>
      <w:r w:rsidR="006B1A70">
        <w:t>oint</w:t>
      </w:r>
      <w:r w:rsidR="005B6432">
        <w:t>,</w:t>
      </w:r>
      <w:r w:rsidR="006B1A70">
        <w:t xml:space="preserve"> SAE Blue</w:t>
      </w:r>
      <w:r w:rsidR="00466818">
        <w:t>,</w:t>
      </w:r>
      <w:r w:rsidR="00112558">
        <w:t xml:space="preserve"> and are placed below the figure.</w:t>
      </w:r>
    </w:p>
    <w:p w14:paraId="06458B59" w14:textId="77777777" w:rsidR="00BB0F44" w:rsidRDefault="00CD7086" w:rsidP="00BB0F44">
      <w:pPr>
        <w:pStyle w:val="List-Ordered-Numeric"/>
      </w:pPr>
      <w:r>
        <w:t>This is an example of an ordered list</w:t>
      </w:r>
      <w:r w:rsidR="007F70DE">
        <w:t xml:space="preserve">. </w:t>
      </w:r>
      <w:r>
        <w:t xml:space="preserve">When creating this type of list </w:t>
      </w:r>
      <w:r w:rsidR="00BB0F44">
        <w:t xml:space="preserve">do not </w:t>
      </w:r>
      <w:r w:rsidR="007F5607">
        <w:t>enclose</w:t>
      </w:r>
      <w:bookmarkStart w:id="10" w:name="_GoBack"/>
      <w:bookmarkEnd w:id="10"/>
      <w:r w:rsidR="007F5607">
        <w:t xml:space="preserve"> number or letter in parenthes</w:t>
      </w:r>
      <w:r w:rsidR="00466818">
        <w:t>e</w:t>
      </w:r>
      <w:r w:rsidR="007F5607">
        <w:t>s i.e.</w:t>
      </w:r>
      <w:r w:rsidR="00466818">
        <w:t>,</w:t>
      </w:r>
      <w:r w:rsidR="007F5607">
        <w:t xml:space="preserve"> (1) or (a).</w:t>
      </w:r>
      <w:r w:rsidR="00BB0F44">
        <w:t xml:space="preserve"> Instead number as shown in this </w:t>
      </w:r>
      <w:r w:rsidR="00DB0C29">
        <w:t>example</w:t>
      </w:r>
      <w:r w:rsidR="00BB0F44">
        <w:t>.</w:t>
      </w:r>
    </w:p>
    <w:p w14:paraId="34FF9A91" w14:textId="77777777" w:rsidR="00FD3482" w:rsidRDefault="000F51C0" w:rsidP="0010106B">
      <w:r>
        <w:t xml:space="preserve">Shown are </w:t>
      </w:r>
      <w:r w:rsidR="008C19F5">
        <w:t>example</w:t>
      </w:r>
      <w:r>
        <w:t>s</w:t>
      </w:r>
      <w:r w:rsidR="008C19F5">
        <w:t xml:space="preserve"> of equation</w:t>
      </w:r>
      <w:r>
        <w:t>s</w:t>
      </w:r>
      <w:r w:rsidR="008C19F5">
        <w:t>. All equations wider than 3.5 inches mu</w:t>
      </w:r>
      <w:r w:rsidR="007029E1">
        <w:t>st be wrapped to the next line</w:t>
      </w:r>
      <w:r w:rsidR="002B1648">
        <w:t xml:space="preserve"> as shown in </w:t>
      </w:r>
      <w:r w:rsidR="00C8115E">
        <w:t xml:space="preserve">these </w:t>
      </w:r>
      <w:r w:rsidR="002B1648">
        <w:t>equation</w:t>
      </w:r>
      <w:r w:rsidR="00C8115E">
        <w:t>s</w:t>
      </w:r>
      <w:r w:rsidR="007029E1">
        <w:t>.</w:t>
      </w:r>
    </w:p>
    <w:p w14:paraId="4CD98038" w14:textId="77777777" w:rsidR="00C8115E" w:rsidRPr="00C8115E" w:rsidRDefault="002B4AD8" w:rsidP="00C8115E">
      <w:pPr>
        <w:pStyle w:val="Equation"/>
        <w:tabs>
          <w:tab w:val="right" w:pos="4410"/>
        </w:tabs>
      </w:pPr>
      <m:oMathPara>
        <m:oMath>
          <m:f>
            <m:fPr>
              <m:ctrlPr>
                <w:rPr>
                  <w:rFonts w:ascii="Cambria Math" w:hAnsi="Cambria Math"/>
                </w:rPr>
              </m:ctrlPr>
            </m:fPr>
            <m:num>
              <m:r>
                <w:rPr>
                  <w:rFonts w:ascii="Cambria Math" w:hAnsi="Cambria Math"/>
                </w:rPr>
                <m:t>dλ</m:t>
              </m:r>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1+16</m:t>
                      </m:r>
                      <m:sSup>
                        <m:sSupPr>
                          <m:ctrlPr>
                            <w:rPr>
                              <w:rFonts w:ascii="Cambria Math" w:hAnsi="Cambria Math"/>
                            </w:rPr>
                          </m:ctrlPr>
                        </m:sSupPr>
                        <m:e>
                          <m:r>
                            <m:rPr>
                              <m:sty m:val="p"/>
                            </m:rPr>
                            <w:rPr>
                              <w:rFonts w:ascii="Cambria Math" w:hAnsi="Cambria Math"/>
                            </w:rPr>
                            <m:t>1</m:t>
                          </m:r>
                          <m:d>
                            <m:dPr>
                              <m:ctrlPr>
                                <w:rPr>
                                  <w:rFonts w:ascii="Cambria Math" w:hAnsi="Cambria Math"/>
                                </w:rPr>
                              </m:ctrlPr>
                            </m:dPr>
                            <m:e>
                              <m:f>
                                <m:fPr>
                                  <m:ctrlPr>
                                    <w:rPr>
                                      <w:rFonts w:ascii="Cambria Math" w:hAnsi="Cambria Math"/>
                                    </w:rPr>
                                  </m:ctrlPr>
                                </m:fPr>
                                <m:num>
                                  <m:r>
                                    <w:rPr>
                                      <w:rFonts w:ascii="Cambria Math" w:hAnsi="Cambria Math"/>
                                    </w:rPr>
                                    <m:t>x</m:t>
                                  </m:r>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den>
                              </m:f>
                            </m:e>
                          </m:d>
                        </m:e>
                        <m:sup>
                          <m:r>
                            <m:rPr>
                              <m:sty m:val="p"/>
                            </m:rPr>
                            <w:rPr>
                              <w:rFonts w:ascii="Cambria Math" w:hAnsi="Cambria Math"/>
                            </w:rPr>
                            <m:t>2</m:t>
                          </m:r>
                        </m:sup>
                      </m:sSup>
                    </m:e>
                  </m:rad>
                  <m:r>
                    <m:rPr>
                      <m:sty m:val="p"/>
                    </m:rPr>
                    <w:rPr>
                      <w:rFonts w:ascii="Cambria Math" w:hAnsi="Cambria Math"/>
                    </w:rPr>
                    <m:t>-12</m:t>
                  </m:r>
                </m:num>
                <m:den>
                  <m:r>
                    <m:rPr>
                      <m:sty m:val="p"/>
                    </m:rPr>
                    <w:rPr>
                      <w:rFonts w:ascii="Cambria Math" w:hAnsi="Cambria Math"/>
                    </w:rPr>
                    <m:t>2</m:t>
                  </m:r>
                  <m:sSub>
                    <m:sSubPr>
                      <m:ctrlPr>
                        <w:rPr>
                          <w:rFonts w:ascii="Cambria Math" w:hAnsi="Cambria Math"/>
                        </w:rPr>
                      </m:ctrlPr>
                    </m:sSubPr>
                    <m:e>
                      <m:d>
                        <m:dPr>
                          <m:ctrlPr>
                            <w:rPr>
                              <w:rFonts w:ascii="Cambria Math" w:hAnsi="Cambria Math"/>
                            </w:rPr>
                          </m:ctrlPr>
                        </m:dPr>
                        <m:e>
                          <m:f>
                            <m:fPr>
                              <m:type m:val="lin"/>
                              <m:ctrlPr>
                                <w:rPr>
                                  <w:rFonts w:ascii="Cambria Math" w:hAnsi="Cambria Math"/>
                                </w:rPr>
                              </m:ctrlPr>
                            </m:fPr>
                            <m:num>
                              <m:r>
                                <w:rPr>
                                  <w:rFonts w:ascii="Cambria Math" w:hAnsi="Cambria Math"/>
                                </w:rPr>
                                <m:t>A</m:t>
                              </m:r>
                            </m:num>
                            <m:den>
                              <m:r>
                                <w:rPr>
                                  <w:rFonts w:ascii="Cambria Math" w:hAnsi="Cambria Math"/>
                                </w:rPr>
                                <m:t>F</m:t>
                              </m:r>
                            </m:den>
                          </m:f>
                        </m:e>
                      </m:d>
                    </m:e>
                    <m:sub>
                      <m:r>
                        <w:rPr>
                          <w:rFonts w:ascii="Cambria Math" w:hAnsi="Cambria Math"/>
                        </w:rPr>
                        <m:t>st</m:t>
                      </m:r>
                    </m:sub>
                  </m:sSub>
                </m:den>
              </m:f>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1+16</m:t>
                      </m:r>
                      <m:sSup>
                        <m:sSupPr>
                          <m:ctrlPr>
                            <w:rPr>
                              <w:rFonts w:ascii="Cambria Math" w:hAnsi="Cambria Math"/>
                            </w:rPr>
                          </m:ctrlPr>
                        </m:sSupPr>
                        <m:e>
                          <m:r>
                            <m:rPr>
                              <m:sty m:val="p"/>
                            </m:rP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prev</m:t>
                                      </m:r>
                                    </m:sub>
                                  </m:sSub>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den>
                              </m:f>
                            </m:e>
                          </m:d>
                        </m:e>
                        <m:sup>
                          <m:r>
                            <m:rPr>
                              <m:sty m:val="p"/>
                            </m:rPr>
                            <w:rPr>
                              <w:rFonts w:ascii="Cambria Math" w:hAnsi="Cambria Math"/>
                            </w:rPr>
                            <m:t>2</m:t>
                          </m:r>
                        </m:sup>
                      </m:sSup>
                    </m:e>
                  </m:rad>
                  <m:r>
                    <m:rPr>
                      <m:sty m:val="p"/>
                    </m:rPr>
                    <w:rPr>
                      <w:rFonts w:ascii="Cambria Math" w:hAnsi="Cambria Math"/>
                    </w:rPr>
                    <m:t>-1</m:t>
                  </m:r>
                </m:num>
                <m:den>
                  <m:r>
                    <m:rPr>
                      <m:sty m:val="p"/>
                    </m:rPr>
                    <w:rPr>
                      <w:rFonts w:ascii="Cambria Math" w:hAnsi="Cambria Math"/>
                    </w:rPr>
                    <m:t>2</m:t>
                  </m:r>
                  <m:sSub>
                    <m:sSubPr>
                      <m:ctrlPr>
                        <w:rPr>
                          <w:rFonts w:ascii="Cambria Math" w:hAnsi="Cambria Math"/>
                        </w:rPr>
                      </m:ctrlPr>
                    </m:sSubPr>
                    <m:e>
                      <m:d>
                        <m:dPr>
                          <m:ctrlPr>
                            <w:rPr>
                              <w:rFonts w:ascii="Cambria Math" w:hAnsi="Cambria Math"/>
                            </w:rPr>
                          </m:ctrlPr>
                        </m:dPr>
                        <m:e>
                          <m:f>
                            <m:fPr>
                              <m:type m:val="lin"/>
                              <m:ctrlPr>
                                <w:rPr>
                                  <w:rFonts w:ascii="Cambria Math" w:hAnsi="Cambria Math"/>
                                </w:rPr>
                              </m:ctrlPr>
                            </m:fPr>
                            <m:num>
                              <m:r>
                                <w:rPr>
                                  <w:rFonts w:ascii="Cambria Math" w:hAnsi="Cambria Math"/>
                                </w:rPr>
                                <m:t>A</m:t>
                              </m:r>
                            </m:num>
                            <m:den>
                              <m:r>
                                <w:rPr>
                                  <w:rFonts w:ascii="Cambria Math" w:hAnsi="Cambria Math"/>
                                </w:rPr>
                                <m:t>F</m:t>
                              </m:r>
                            </m:den>
                          </m:f>
                        </m:e>
                      </m:d>
                    </m:e>
                    <m:sub>
                      <m:r>
                        <w:rPr>
                          <w:rFonts w:ascii="Cambria Math" w:hAnsi="Cambria Math"/>
                        </w:rPr>
                        <m:t>st</m:t>
                      </m:r>
                    </m:sub>
                  </m:sSub>
                </m:den>
              </m:f>
            </m:e>
          </m:d>
        </m:oMath>
      </m:oMathPara>
    </w:p>
    <w:p w14:paraId="4F18D27D" w14:textId="77777777" w:rsidR="00FD3482" w:rsidRDefault="00C8115E" w:rsidP="00C8115E">
      <w:pPr>
        <w:pStyle w:val="Equation"/>
        <w:tabs>
          <w:tab w:val="right" w:pos="4410"/>
        </w:tabs>
      </w:pPr>
      <m:oMath>
        <m:r>
          <w:rPr>
            <w:rFonts w:ascii="Cambria Math" w:hAnsi="Cambria Math"/>
          </w:rPr>
          <m:t xml:space="preserve">                                  </m:t>
        </m:r>
        <m:d>
          <m:dPr>
            <m:ctrlPr>
              <w:rPr>
                <w:rFonts w:ascii="Cambria Math" w:hAnsi="Cambria Math"/>
              </w:rPr>
            </m:ctrlPr>
          </m:dPr>
          <m:e>
            <m:r>
              <m:rPr>
                <m:sty m:val="p"/>
              </m:rPr>
              <w:rPr>
                <w:rFonts w:ascii="Cambria Math" w:hAnsi="Cambria Math"/>
              </w:rPr>
              <m:t>1-</m:t>
            </m:r>
            <m:r>
              <w:rPr>
                <w:rFonts w:ascii="Cambria Math" w:hAnsi="Cambria Math"/>
              </w:rPr>
              <m:t>BG</m:t>
            </m:r>
            <m:sSub>
              <m:sSubPr>
                <m:ctrlPr>
                  <w:rPr>
                    <w:rFonts w:ascii="Cambria Math" w:hAnsi="Cambria Math"/>
                  </w:rPr>
                </m:ctrlPr>
              </m:sSubPr>
              <m:e>
                <m:r>
                  <w:rPr>
                    <w:rFonts w:ascii="Cambria Math" w:hAnsi="Cambria Math"/>
                  </w:rPr>
                  <m:t>F</m:t>
                </m:r>
              </m:e>
              <m:sub>
                <m:r>
                  <w:rPr>
                    <w:rFonts w:ascii="Cambria Math" w:hAnsi="Cambria Math"/>
                  </w:rPr>
                  <m:t>st</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12</m:t>
            </m:r>
          </m:num>
          <m:den>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prev</m:t>
                    </m:r>
                  </m:sub>
                </m:sSub>
              </m:e>
            </m:d>
          </m:den>
        </m:f>
      </m:oMath>
      <w:r>
        <w:tab/>
      </w:r>
      <w:r w:rsidR="005B6432">
        <w:t xml:space="preserve">                                    </w:t>
      </w:r>
      <w:r w:rsidR="00FD3482">
        <w:t>(1)</w:t>
      </w:r>
    </w:p>
    <w:p w14:paraId="064FDFB4" w14:textId="77777777" w:rsidR="00C9283F" w:rsidRDefault="00C9283F" w:rsidP="00C0692C">
      <w:pPr>
        <w:pStyle w:val="Equation"/>
      </w:pPr>
    </w:p>
    <w:p w14:paraId="4145AB25" w14:textId="77777777" w:rsidR="002F5464" w:rsidRPr="005F4F92" w:rsidRDefault="005B6432" w:rsidP="00C0692C">
      <w:pPr>
        <w:pStyle w:val="Equation"/>
      </w:pPr>
      <w:r>
        <w:t xml:space="preserve">                                                         </w:t>
      </w:r>
      <w:r w:rsidR="00C9283F">
        <w:t xml:space="preserve">                                       </w:t>
      </w:r>
      <w:r w:rsidR="00151E0C">
        <w:rPr>
          <w:rFonts w:hint="eastAsia"/>
          <w:lang w:eastAsia="ja-JP"/>
        </w:rPr>
        <w:t>(</w:t>
      </w:r>
      <w:r w:rsidR="005E4273">
        <w:rPr>
          <w:lang w:eastAsia="ja-JP"/>
        </w:rPr>
        <w:t>2</w:t>
      </w:r>
      <w:r w:rsidR="00151E0C">
        <w:rPr>
          <w:rFonts w:hint="eastAsia"/>
          <w:lang w:eastAsia="ja-JP"/>
        </w:rPr>
        <w:t>)</w:t>
      </w:r>
    </w:p>
    <w:p w14:paraId="28C39178" w14:textId="77777777" w:rsidR="00B01FCD" w:rsidRDefault="001E0A92" w:rsidP="00A418D3">
      <w:pPr>
        <w:pStyle w:val="Head1"/>
      </w:pPr>
      <w:r>
        <w:t>S</w:t>
      </w:r>
      <w:r w:rsidR="002C6C40">
        <w:t>ummary</w:t>
      </w:r>
      <w:r>
        <w:t>/</w:t>
      </w:r>
      <w:r w:rsidR="00B01FCD">
        <w:t>Conclusion</w:t>
      </w:r>
      <w:r w:rsidR="002C6C40">
        <w:t>s</w:t>
      </w:r>
    </w:p>
    <w:p w14:paraId="71B07910" w14:textId="77777777" w:rsidR="00D24567" w:rsidRDefault="00D24567" w:rsidP="00D24567">
      <w:r>
        <w:t>If the Summary/Conclusions section is not wanted, delete this heading and text.</w:t>
      </w:r>
    </w:p>
    <w:p w14:paraId="1A215E2A" w14:textId="77777777" w:rsidR="00B01FCD" w:rsidRDefault="00B01FCD" w:rsidP="00A418D3">
      <w:pPr>
        <w:pStyle w:val="Head1"/>
      </w:pPr>
      <w:r>
        <w:t>References</w:t>
      </w:r>
    </w:p>
    <w:p w14:paraId="0D2634C6" w14:textId="77777777" w:rsidR="00F6554A" w:rsidRPr="00F6554A" w:rsidRDefault="00F6554A" w:rsidP="00F6554A">
      <w:pPr>
        <w:pStyle w:val="List-Ordered-Numeric"/>
        <w:numPr>
          <w:ilvl w:val="0"/>
          <w:numId w:val="3"/>
        </w:numPr>
      </w:pPr>
      <w:bookmarkStart w:id="11" w:name="_Ref12352023"/>
      <w:r w:rsidRPr="00F6554A">
        <w:rPr>
          <w:szCs w:val="18"/>
        </w:rPr>
        <w:t xml:space="preserve">M. Werling, J. Ziegler, K. Soren, and S. Thrun. </w:t>
      </w:r>
      <w:r w:rsidRPr="00F6554A">
        <w:rPr>
          <w:i/>
          <w:szCs w:val="18"/>
        </w:rPr>
        <w:t>Optimal Trajectory Generation for Dynamic Street Scenarios in a Frenet Frame</w:t>
      </w:r>
      <w:r w:rsidRPr="00F6554A">
        <w:rPr>
          <w:szCs w:val="18"/>
        </w:rPr>
        <w:t>, 2010</w:t>
      </w:r>
      <w:bookmarkEnd w:id="11"/>
    </w:p>
    <w:p w14:paraId="0DC3364C" w14:textId="77777777" w:rsidR="00F6554A" w:rsidRPr="00F6554A" w:rsidRDefault="00F6554A" w:rsidP="00F6554A">
      <w:pPr>
        <w:pStyle w:val="List-Ordered-Numeric"/>
        <w:numPr>
          <w:ilvl w:val="0"/>
          <w:numId w:val="3"/>
        </w:numPr>
        <w:spacing w:after="160" w:line="259" w:lineRule="auto"/>
        <w:rPr>
          <w:szCs w:val="18"/>
        </w:rPr>
      </w:pPr>
      <w:bookmarkStart w:id="12" w:name="_Ref12352049"/>
      <w:r w:rsidRPr="00F6554A">
        <w:rPr>
          <w:szCs w:val="18"/>
        </w:rPr>
        <w:t xml:space="preserve">A. Kelly, B. Nagy, </w:t>
      </w:r>
      <w:r w:rsidRPr="00F6554A">
        <w:rPr>
          <w:i/>
          <w:szCs w:val="18"/>
        </w:rPr>
        <w:t>Reactive Nonholonomic Trajectory Generation via Parametric Optimal Control</w:t>
      </w:r>
      <w:r w:rsidRPr="00F6554A">
        <w:rPr>
          <w:szCs w:val="18"/>
        </w:rPr>
        <w:t>, 2003</w:t>
      </w:r>
      <w:bookmarkEnd w:id="12"/>
    </w:p>
    <w:p w14:paraId="1506B517" w14:textId="77777777" w:rsidR="00F6554A" w:rsidRPr="00F6554A" w:rsidRDefault="00F6554A" w:rsidP="00F6554A">
      <w:pPr>
        <w:pStyle w:val="List-Ordered-Numeric"/>
        <w:numPr>
          <w:ilvl w:val="0"/>
          <w:numId w:val="3"/>
        </w:numPr>
        <w:spacing w:after="160" w:line="259" w:lineRule="auto"/>
        <w:rPr>
          <w:szCs w:val="18"/>
        </w:rPr>
      </w:pPr>
      <w:bookmarkStart w:id="13" w:name="_Ref12352271"/>
      <w:r w:rsidRPr="00F6554A">
        <w:rPr>
          <w:szCs w:val="18"/>
        </w:rPr>
        <w:t xml:space="preserve">Y. Sun, Z. Zhan, Y. Fang, L. Zheng, L. Wang, G. Guo, </w:t>
      </w:r>
      <w:r w:rsidRPr="00F6554A">
        <w:rPr>
          <w:i/>
          <w:szCs w:val="18"/>
        </w:rPr>
        <w:t xml:space="preserve">A Dynamic Local Trajectory Planning and Tracking Method for UGV Based on Optimal Algorithm, </w:t>
      </w:r>
      <w:r w:rsidRPr="00F6554A">
        <w:rPr>
          <w:szCs w:val="18"/>
        </w:rPr>
        <w:t>2019</w:t>
      </w:r>
      <w:bookmarkEnd w:id="13"/>
    </w:p>
    <w:p w14:paraId="3D5DDEAA" w14:textId="77777777" w:rsidR="00F6554A" w:rsidRPr="00F6554A" w:rsidRDefault="00F6554A" w:rsidP="00F6554A">
      <w:pPr>
        <w:pStyle w:val="List-Ordered-Numeric"/>
        <w:numPr>
          <w:ilvl w:val="0"/>
          <w:numId w:val="3"/>
        </w:numPr>
        <w:spacing w:after="160" w:line="259" w:lineRule="auto"/>
        <w:rPr>
          <w:szCs w:val="18"/>
        </w:rPr>
      </w:pPr>
      <w:bookmarkStart w:id="14" w:name="_Ref12352178"/>
      <w:r w:rsidRPr="00F6554A">
        <w:rPr>
          <w:szCs w:val="18"/>
        </w:rPr>
        <w:t xml:space="preserve">A. Takahashi, T. Hongo, Y. Ninomiya, G. Sugimoto, </w:t>
      </w:r>
      <w:r w:rsidRPr="00F6554A">
        <w:rPr>
          <w:i/>
          <w:szCs w:val="18"/>
        </w:rPr>
        <w:t>Local Path Planning and Motion Control for AGV in Positioning</w:t>
      </w:r>
      <w:r w:rsidRPr="00F6554A">
        <w:rPr>
          <w:szCs w:val="18"/>
        </w:rPr>
        <w:t>, 1989</w:t>
      </w:r>
      <w:bookmarkEnd w:id="14"/>
    </w:p>
    <w:p w14:paraId="5533F925" w14:textId="77777777" w:rsidR="00F6554A" w:rsidRPr="00F6554A" w:rsidRDefault="00F6554A" w:rsidP="00F6554A">
      <w:pPr>
        <w:pStyle w:val="List-Ordered-Numeric"/>
        <w:numPr>
          <w:ilvl w:val="0"/>
          <w:numId w:val="3"/>
        </w:numPr>
        <w:spacing w:after="160" w:line="259" w:lineRule="auto"/>
        <w:rPr>
          <w:szCs w:val="18"/>
        </w:rPr>
      </w:pPr>
      <w:bookmarkStart w:id="15" w:name="_Ref12352304"/>
      <w:r w:rsidRPr="00F6554A">
        <w:rPr>
          <w:szCs w:val="18"/>
        </w:rPr>
        <w:t xml:space="preserve">A. Piazzi, C. Guarino lo Bianco, </w:t>
      </w:r>
      <w:r w:rsidRPr="00F6554A">
        <w:rPr>
          <w:i/>
          <w:szCs w:val="18"/>
        </w:rPr>
        <w:t>Quintic G2-Splines for Trajectory Planning of Autonomous Vehicles,</w:t>
      </w:r>
      <w:r w:rsidRPr="00F6554A">
        <w:rPr>
          <w:szCs w:val="18"/>
        </w:rPr>
        <w:t xml:space="preserve"> 2000</w:t>
      </w:r>
      <w:bookmarkEnd w:id="15"/>
    </w:p>
    <w:p w14:paraId="45E9F508" w14:textId="77777777" w:rsidR="00F6554A" w:rsidRPr="00F6554A" w:rsidRDefault="00F6554A" w:rsidP="00F6554A">
      <w:pPr>
        <w:pStyle w:val="List-Ordered-Numeric"/>
        <w:numPr>
          <w:ilvl w:val="0"/>
          <w:numId w:val="3"/>
        </w:numPr>
        <w:spacing w:after="160" w:line="259" w:lineRule="auto"/>
        <w:rPr>
          <w:szCs w:val="18"/>
        </w:rPr>
      </w:pPr>
      <w:bookmarkStart w:id="16" w:name="_Ref12352370"/>
      <w:r w:rsidRPr="00F6554A">
        <w:rPr>
          <w:szCs w:val="18"/>
        </w:rPr>
        <w:t xml:space="preserve">D. Wilde, </w:t>
      </w:r>
      <w:r w:rsidRPr="00F6554A">
        <w:rPr>
          <w:i/>
          <w:szCs w:val="18"/>
        </w:rPr>
        <w:t>Computing Clothoid-Arc Segments for Trajectory Generation</w:t>
      </w:r>
      <w:r w:rsidRPr="00F6554A">
        <w:rPr>
          <w:szCs w:val="18"/>
        </w:rPr>
        <w:t>, 2009</w:t>
      </w:r>
      <w:bookmarkEnd w:id="16"/>
    </w:p>
    <w:p w14:paraId="3B69FFA9" w14:textId="77777777" w:rsidR="00F6554A" w:rsidRPr="00F6554A" w:rsidRDefault="00F6554A" w:rsidP="00F6554A">
      <w:pPr>
        <w:pStyle w:val="List-Ordered-Numeric"/>
        <w:numPr>
          <w:ilvl w:val="0"/>
          <w:numId w:val="3"/>
        </w:numPr>
        <w:spacing w:after="160" w:line="259" w:lineRule="auto"/>
        <w:rPr>
          <w:szCs w:val="18"/>
        </w:rPr>
      </w:pPr>
      <w:bookmarkStart w:id="17" w:name="_Ref12352376"/>
      <w:r w:rsidRPr="00F6554A">
        <w:rPr>
          <w:szCs w:val="18"/>
        </w:rPr>
        <w:lastRenderedPageBreak/>
        <w:t xml:space="preserve">H. Delingette, M. Hebert, K. Ikeuchi, </w:t>
      </w:r>
      <w:r w:rsidRPr="00F6554A">
        <w:rPr>
          <w:i/>
          <w:szCs w:val="18"/>
        </w:rPr>
        <w:t>Trajectory Generation with Curvature Constraint based on Energy Minimization</w:t>
      </w:r>
      <w:r w:rsidRPr="00F6554A">
        <w:rPr>
          <w:szCs w:val="18"/>
        </w:rPr>
        <w:t>, 1991</w:t>
      </w:r>
      <w:bookmarkEnd w:id="17"/>
    </w:p>
    <w:p w14:paraId="6C81C25F" w14:textId="77777777" w:rsidR="00F6554A" w:rsidRPr="00F6554A" w:rsidRDefault="00F6554A" w:rsidP="00F6554A">
      <w:pPr>
        <w:pStyle w:val="List-Ordered-Numeric"/>
        <w:numPr>
          <w:ilvl w:val="0"/>
          <w:numId w:val="3"/>
        </w:numPr>
        <w:spacing w:after="160" w:line="259" w:lineRule="auto"/>
        <w:rPr>
          <w:szCs w:val="18"/>
        </w:rPr>
      </w:pPr>
      <w:bookmarkStart w:id="18" w:name="_Ref12352383"/>
      <w:r w:rsidRPr="00F6554A">
        <w:rPr>
          <w:szCs w:val="18"/>
        </w:rPr>
        <w:t xml:space="preserve">L. J. van Vliet, P. W. Verbeek, </w:t>
      </w:r>
      <w:r w:rsidRPr="00F6554A">
        <w:rPr>
          <w:i/>
          <w:szCs w:val="18"/>
        </w:rPr>
        <w:t>Curvature and Bending Energy in Digitized 2D and 3D Images</w:t>
      </w:r>
      <w:r w:rsidRPr="00F6554A">
        <w:rPr>
          <w:szCs w:val="18"/>
        </w:rPr>
        <w:t>, 1993</w:t>
      </w:r>
      <w:bookmarkEnd w:id="18"/>
    </w:p>
    <w:p w14:paraId="490A9765" w14:textId="77777777" w:rsidR="00F6554A" w:rsidRPr="00F6554A" w:rsidRDefault="00F6554A" w:rsidP="00F6554A">
      <w:pPr>
        <w:pStyle w:val="List-Ordered-Numeric"/>
        <w:numPr>
          <w:ilvl w:val="0"/>
          <w:numId w:val="3"/>
        </w:numPr>
        <w:spacing w:after="160" w:line="259" w:lineRule="auto"/>
        <w:rPr>
          <w:szCs w:val="18"/>
        </w:rPr>
      </w:pPr>
      <w:bookmarkStart w:id="19" w:name="_Ref12354948"/>
      <w:r w:rsidRPr="00F6554A">
        <w:rPr>
          <w:szCs w:val="18"/>
        </w:rPr>
        <w:t>P. Guillaume, J. Schoukens, R. Pintelon</w:t>
      </w:r>
      <w:r w:rsidRPr="00F6554A">
        <w:rPr>
          <w:i/>
          <w:szCs w:val="18"/>
        </w:rPr>
        <w:t>, Sensitivity of Roots to Errors in the Coefficient of Polynomials Obtained by Frequency –Domain Estimation Methods</w:t>
      </w:r>
      <w:r w:rsidRPr="00F6554A">
        <w:rPr>
          <w:szCs w:val="18"/>
        </w:rPr>
        <w:t>, 1989</w:t>
      </w:r>
      <w:bookmarkEnd w:id="19"/>
    </w:p>
    <w:p w14:paraId="365ED249" w14:textId="77777777" w:rsidR="00F6554A" w:rsidRPr="00F6554A" w:rsidRDefault="00F6554A" w:rsidP="00F6554A">
      <w:pPr>
        <w:pStyle w:val="List-Ordered-Numeric"/>
        <w:numPr>
          <w:ilvl w:val="0"/>
          <w:numId w:val="3"/>
        </w:numPr>
        <w:spacing w:after="160" w:line="259" w:lineRule="auto"/>
        <w:rPr>
          <w:szCs w:val="18"/>
        </w:rPr>
      </w:pPr>
      <w:bookmarkStart w:id="20" w:name="_Ref12354958"/>
      <w:r w:rsidRPr="00F6554A">
        <w:rPr>
          <w:szCs w:val="18"/>
        </w:rPr>
        <w:t xml:space="preserve">K. E. Atkinson, </w:t>
      </w:r>
      <w:r w:rsidRPr="00F6554A">
        <w:rPr>
          <w:i/>
          <w:szCs w:val="18"/>
        </w:rPr>
        <w:t>An Introduction to Numerical Analysis</w:t>
      </w:r>
      <w:r w:rsidRPr="00F6554A">
        <w:rPr>
          <w:szCs w:val="18"/>
        </w:rPr>
        <w:t>, 1989</w:t>
      </w:r>
      <w:bookmarkEnd w:id="20"/>
    </w:p>
    <w:p w14:paraId="6EB61721" w14:textId="77777777" w:rsidR="00F6554A" w:rsidRPr="00F6554A" w:rsidRDefault="00F6554A" w:rsidP="00F6554A">
      <w:pPr>
        <w:pStyle w:val="List-Ordered-Numeric"/>
        <w:numPr>
          <w:ilvl w:val="0"/>
          <w:numId w:val="3"/>
        </w:numPr>
        <w:spacing w:after="160" w:line="259" w:lineRule="auto"/>
        <w:rPr>
          <w:szCs w:val="18"/>
        </w:rPr>
      </w:pPr>
      <w:bookmarkStart w:id="21" w:name="_Ref12361927"/>
      <w:r w:rsidRPr="00F6554A">
        <w:rPr>
          <w:szCs w:val="18"/>
        </w:rPr>
        <w:t xml:space="preserve">O. M. O’Reilly, </w:t>
      </w:r>
      <w:r w:rsidRPr="00F6554A">
        <w:rPr>
          <w:i/>
          <w:szCs w:val="18"/>
        </w:rPr>
        <w:t>Engineering Dynamics A Primer</w:t>
      </w:r>
      <w:r w:rsidRPr="00F6554A">
        <w:rPr>
          <w:szCs w:val="18"/>
        </w:rPr>
        <w:t>, 2010</w:t>
      </w:r>
      <w:bookmarkEnd w:id="21"/>
    </w:p>
    <w:p w14:paraId="5AA23A4F" w14:textId="77777777" w:rsidR="00F6554A" w:rsidRPr="00F6554A" w:rsidRDefault="00F6554A" w:rsidP="00F6554A">
      <w:pPr>
        <w:pStyle w:val="List-Ordered-Numeric"/>
        <w:numPr>
          <w:ilvl w:val="0"/>
          <w:numId w:val="3"/>
        </w:numPr>
        <w:spacing w:after="160" w:line="259" w:lineRule="auto"/>
        <w:rPr>
          <w:szCs w:val="18"/>
        </w:rPr>
      </w:pPr>
      <w:bookmarkStart w:id="22" w:name="_Ref12523652"/>
      <w:r w:rsidRPr="00F6554A">
        <w:rPr>
          <w:szCs w:val="18"/>
        </w:rPr>
        <w:t xml:space="preserve">A.N. Pressley, </w:t>
      </w:r>
      <w:r w:rsidRPr="00F6554A">
        <w:rPr>
          <w:i/>
          <w:szCs w:val="18"/>
        </w:rPr>
        <w:t>Elementary Differential Geometry</w:t>
      </w:r>
      <w:r w:rsidRPr="00F6554A">
        <w:rPr>
          <w:szCs w:val="18"/>
        </w:rPr>
        <w:t>, 2010</w:t>
      </w:r>
      <w:bookmarkEnd w:id="22"/>
    </w:p>
    <w:p w14:paraId="1CA3C324" w14:textId="77777777" w:rsidR="00F6554A" w:rsidRPr="00F6554A" w:rsidRDefault="00F6554A" w:rsidP="00F6554A">
      <w:pPr>
        <w:pStyle w:val="List-Ordered-Numeric"/>
        <w:numPr>
          <w:ilvl w:val="0"/>
          <w:numId w:val="3"/>
        </w:numPr>
        <w:spacing w:after="160" w:line="259" w:lineRule="auto"/>
        <w:rPr>
          <w:szCs w:val="18"/>
        </w:rPr>
      </w:pPr>
      <w:bookmarkStart w:id="23" w:name="_Ref12448746"/>
      <w:r w:rsidRPr="00F6554A">
        <w:rPr>
          <w:szCs w:val="18"/>
        </w:rPr>
        <w:t xml:space="preserve">H. B. Pacejka, </w:t>
      </w:r>
      <w:r w:rsidRPr="00F6554A">
        <w:rPr>
          <w:i/>
          <w:szCs w:val="18"/>
        </w:rPr>
        <w:t>Tyre and Vehicle Dynamics</w:t>
      </w:r>
      <w:r w:rsidRPr="00F6554A">
        <w:rPr>
          <w:szCs w:val="18"/>
        </w:rPr>
        <w:t>,  2006</w:t>
      </w:r>
      <w:bookmarkEnd w:id="23"/>
    </w:p>
    <w:p w14:paraId="5181F8C5" w14:textId="77777777" w:rsidR="00F6554A" w:rsidRPr="00F6554A" w:rsidRDefault="00F6554A" w:rsidP="00F6554A">
      <w:pPr>
        <w:pStyle w:val="List-Ordered-Numeric"/>
        <w:numPr>
          <w:ilvl w:val="0"/>
          <w:numId w:val="3"/>
        </w:numPr>
        <w:spacing w:after="160" w:line="259" w:lineRule="auto"/>
        <w:rPr>
          <w:szCs w:val="18"/>
        </w:rPr>
      </w:pPr>
      <w:bookmarkStart w:id="24" w:name="_Ref12448758"/>
      <w:r w:rsidRPr="00F6554A">
        <w:rPr>
          <w:szCs w:val="18"/>
        </w:rPr>
        <w:t xml:space="preserve">T. D. Gillespie, </w:t>
      </w:r>
      <w:r w:rsidRPr="00F6554A">
        <w:rPr>
          <w:i/>
          <w:szCs w:val="18"/>
        </w:rPr>
        <w:t>Fundamentals of Vehicle Dynamics</w:t>
      </w:r>
      <w:r w:rsidRPr="00F6554A">
        <w:rPr>
          <w:szCs w:val="18"/>
        </w:rPr>
        <w:t>, 1992</w:t>
      </w:r>
      <w:bookmarkEnd w:id="24"/>
    </w:p>
    <w:p w14:paraId="02317C5B"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P. do Carmo, </w:t>
      </w:r>
      <w:r w:rsidRPr="00F6554A">
        <w:rPr>
          <w:i/>
          <w:szCs w:val="18"/>
        </w:rPr>
        <w:t>Differential Geometry of Curves and Surfaces</w:t>
      </w:r>
      <w:r w:rsidRPr="00F6554A">
        <w:rPr>
          <w:szCs w:val="18"/>
        </w:rPr>
        <w:t>, 1976</w:t>
      </w:r>
    </w:p>
    <w:p w14:paraId="3F7C59EB" w14:textId="77777777" w:rsidR="00F6554A" w:rsidRPr="00F6554A" w:rsidRDefault="00F6554A" w:rsidP="00F6554A">
      <w:pPr>
        <w:pStyle w:val="List-Ordered-Numeric"/>
        <w:numPr>
          <w:ilvl w:val="0"/>
          <w:numId w:val="3"/>
        </w:numPr>
        <w:spacing w:after="160" w:line="259" w:lineRule="auto"/>
        <w:rPr>
          <w:i/>
          <w:szCs w:val="18"/>
        </w:rPr>
      </w:pPr>
      <w:bookmarkStart w:id="25" w:name="_Ref12450306"/>
      <w:r w:rsidRPr="00F6554A">
        <w:rPr>
          <w:szCs w:val="18"/>
        </w:rPr>
        <w:t xml:space="preserve">AASHTO, </w:t>
      </w:r>
      <w:r w:rsidRPr="00F6554A">
        <w:rPr>
          <w:i/>
          <w:szCs w:val="18"/>
        </w:rPr>
        <w:t>A Policy on Geometric Design of Highways and Streets</w:t>
      </w:r>
      <w:r w:rsidRPr="00F6554A">
        <w:rPr>
          <w:szCs w:val="18"/>
        </w:rPr>
        <w:t>, 2011</w:t>
      </w:r>
      <w:bookmarkEnd w:id="25"/>
    </w:p>
    <w:p w14:paraId="20926252" w14:textId="77777777" w:rsidR="00F6554A" w:rsidRPr="00F6554A" w:rsidRDefault="00F6554A" w:rsidP="00F6554A">
      <w:pPr>
        <w:pStyle w:val="List-Ordered-Numeric"/>
        <w:numPr>
          <w:ilvl w:val="0"/>
          <w:numId w:val="3"/>
        </w:numPr>
        <w:spacing w:after="160" w:line="259" w:lineRule="auto"/>
        <w:rPr>
          <w:i/>
          <w:szCs w:val="18"/>
        </w:rPr>
      </w:pPr>
      <w:bookmarkStart w:id="26" w:name="_Ref12542927"/>
      <w:r w:rsidRPr="00F6554A">
        <w:rPr>
          <w:szCs w:val="18"/>
        </w:rPr>
        <w:t xml:space="preserve">A. Mjaavatten, </w:t>
      </w:r>
      <w:r w:rsidRPr="00F6554A">
        <w:rPr>
          <w:i/>
          <w:szCs w:val="18"/>
        </w:rPr>
        <w:t>Curvature of a Discrete Curve in 3D Space</w:t>
      </w:r>
      <w:r w:rsidRPr="00F6554A">
        <w:rPr>
          <w:szCs w:val="18"/>
        </w:rPr>
        <w:t>, 2018</w:t>
      </w:r>
      <w:bookmarkEnd w:id="26"/>
    </w:p>
    <w:p w14:paraId="2AD29505"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M. Duhn, G. Parikh, J. Hourdos, </w:t>
      </w:r>
      <w:r w:rsidRPr="00F6554A">
        <w:rPr>
          <w:i/>
          <w:szCs w:val="18"/>
        </w:rPr>
        <w:t>I-94 Connected Vehicles Testbed Operations and Maintenance</w:t>
      </w:r>
      <w:r w:rsidRPr="00F6554A">
        <w:rPr>
          <w:szCs w:val="18"/>
        </w:rPr>
        <w:t>, 2019</w:t>
      </w:r>
    </w:p>
    <w:p w14:paraId="6BABA141" w14:textId="77777777" w:rsidR="00F6554A" w:rsidRPr="00F6554A" w:rsidRDefault="00F6554A" w:rsidP="00F6554A">
      <w:pPr>
        <w:pStyle w:val="List-Ordered-Numeric"/>
        <w:numPr>
          <w:ilvl w:val="0"/>
          <w:numId w:val="3"/>
        </w:numPr>
        <w:spacing w:after="160" w:line="259" w:lineRule="auto"/>
        <w:rPr>
          <w:szCs w:val="18"/>
        </w:rPr>
      </w:pPr>
      <w:r w:rsidRPr="00F6554A">
        <w:rPr>
          <w:szCs w:val="18"/>
        </w:rPr>
        <w:t xml:space="preserve">Druta, A. S. Alden, </w:t>
      </w:r>
      <w:r w:rsidRPr="00F6554A">
        <w:rPr>
          <w:i/>
          <w:szCs w:val="18"/>
        </w:rPr>
        <w:t>Implementation and Evaluation of a Buried Cable Animal Detection System and Deer Warning Sign</w:t>
      </w:r>
      <w:r w:rsidRPr="00F6554A">
        <w:rPr>
          <w:szCs w:val="18"/>
        </w:rPr>
        <w:t>, 2019</w:t>
      </w:r>
    </w:p>
    <w:p w14:paraId="32561C8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SAE International, </w:t>
      </w:r>
      <w:r w:rsidRPr="00F6554A">
        <w:rPr>
          <w:i/>
          <w:szCs w:val="18"/>
        </w:rPr>
        <w:t xml:space="preserve">J3016-Taxonomy and Definitions for Terms Related to Driving Automation Systems for On-Road Motor Vehicles, </w:t>
      </w:r>
      <w:r w:rsidRPr="00F6554A">
        <w:rPr>
          <w:szCs w:val="18"/>
        </w:rPr>
        <w:t>2018</w:t>
      </w:r>
    </w:p>
    <w:p w14:paraId="2C91E9EC"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William J. Hughes Technical Center,</w:t>
      </w:r>
      <w:r w:rsidRPr="00F6554A">
        <w:rPr>
          <w:i/>
          <w:szCs w:val="18"/>
        </w:rPr>
        <w:t xml:space="preserve"> Global Positioning System (GPS) Standard Positioning Service (SPS) Performance Analysis Report</w:t>
      </w:r>
      <w:r w:rsidRPr="00F6554A">
        <w:rPr>
          <w:szCs w:val="18"/>
        </w:rPr>
        <w:t>, 2017</w:t>
      </w:r>
    </w:p>
    <w:p w14:paraId="74C7CC03" w14:textId="77777777" w:rsidR="00F6554A" w:rsidRPr="00F6554A" w:rsidRDefault="00F6554A" w:rsidP="00F6554A">
      <w:pPr>
        <w:pStyle w:val="List-Ordered-Numeric"/>
        <w:numPr>
          <w:ilvl w:val="0"/>
          <w:numId w:val="3"/>
        </w:numPr>
        <w:spacing w:after="160" w:line="259" w:lineRule="auto"/>
        <w:rPr>
          <w:i/>
          <w:szCs w:val="18"/>
        </w:rPr>
      </w:pPr>
      <w:r w:rsidRPr="00F6554A">
        <w:rPr>
          <w:szCs w:val="18"/>
        </w:rPr>
        <w:t xml:space="preserve">S. Heinrich, </w:t>
      </w:r>
      <w:r w:rsidRPr="00F6554A">
        <w:rPr>
          <w:i/>
          <w:szCs w:val="18"/>
        </w:rPr>
        <w:t>Planning Universal On-Road Driving Strategies for Automated Vehicles,</w:t>
      </w:r>
      <w:r w:rsidRPr="00F6554A">
        <w:rPr>
          <w:szCs w:val="18"/>
        </w:rPr>
        <w:t xml:space="preserve"> 2018</w:t>
      </w:r>
    </w:p>
    <w:p w14:paraId="2FEA81A8" w14:textId="77777777" w:rsidR="000D56B5" w:rsidRDefault="00C205BD" w:rsidP="00F910BE">
      <w:pPr>
        <w:pStyle w:val="List-Ordered-Numeric"/>
        <w:numPr>
          <w:ilvl w:val="0"/>
          <w:numId w:val="3"/>
        </w:numPr>
      </w:pPr>
      <w:r>
        <w:t xml:space="preserve">SAE uses the </w:t>
      </w:r>
      <w:hyperlink r:id="rId31" w:history="1">
        <w:r w:rsidRPr="00466818">
          <w:rPr>
            <w:u w:val="single"/>
          </w:rPr>
          <w:t>Chicago Manual of Style</w:t>
        </w:r>
      </w:hyperlink>
      <w:r>
        <w:t xml:space="preserve"> in formatting references. In the text of the paper the citations are numerically identified using square brackets</w:t>
      </w:r>
      <w:r w:rsidR="00A54231">
        <w:t xml:space="preserve"> [1]</w:t>
      </w:r>
      <w:r>
        <w:t xml:space="preserve">. </w:t>
      </w:r>
      <w:r w:rsidR="00CC54C8">
        <w:t>Up to four authors should be listed; more than four</w:t>
      </w:r>
      <w:r w:rsidR="00A54231">
        <w:t>,</w:t>
      </w:r>
      <w:r w:rsidR="00CC54C8">
        <w:t xml:space="preserve"> et al. should be used after the fourth author is listed. </w:t>
      </w:r>
      <w:r>
        <w:t xml:space="preserve">Refer to the SAE Technical Paper Style Guide for formatting of different types of references. </w:t>
      </w:r>
      <w:r w:rsidR="002C6C40">
        <w:t xml:space="preserve">Apply the List-Ordered-Numeric style tag to format references. </w:t>
      </w:r>
      <w:r>
        <w:t>Below are some examples.</w:t>
      </w:r>
    </w:p>
    <w:p w14:paraId="527CD988" w14:textId="77777777" w:rsidR="000E4E44" w:rsidRDefault="000E4E44" w:rsidP="000E4E44">
      <w:pPr>
        <w:pStyle w:val="List-Ordered-Numeric"/>
      </w:pPr>
      <w:r w:rsidRPr="000E4E44">
        <w:t>Guo, Q. and Liu, B., "Simulation and Physical Measurement of Seamless Passenger Airbag Door Deployment," SAE Technical Paper 2012-01-0082, 2012</w:t>
      </w:r>
      <w:r w:rsidR="006155E9">
        <w:t xml:space="preserve">, </w:t>
      </w:r>
      <w:r w:rsidR="006155E9" w:rsidRPr="002F1E37">
        <w:t>doi:</w:t>
      </w:r>
      <w:r w:rsidR="006155E9" w:rsidRPr="002F5464">
        <w:rPr>
          <w:u w:val="single"/>
        </w:rPr>
        <w:t>10.4271/2012-01-0082</w:t>
      </w:r>
      <w:r w:rsidRPr="000E4E44">
        <w:t>.</w:t>
      </w:r>
    </w:p>
    <w:p w14:paraId="1AB20588" w14:textId="77777777" w:rsidR="000E4E44" w:rsidRDefault="000E4E44" w:rsidP="000E4E44">
      <w:pPr>
        <w:pStyle w:val="List-Ordered-Numeric"/>
      </w:pPr>
      <w:r w:rsidRPr="000E4E44">
        <w:t>Kunkel, S., Zimmer, T., and Wachtmeister, G., "Friction Analysis of Oil Control Rings during Running-In," SAE Technical Paper 2011-01-2428, 2012</w:t>
      </w:r>
      <w:r w:rsidRPr="002F1E37">
        <w:t>, doi:</w:t>
      </w:r>
      <w:r w:rsidRPr="002F5464">
        <w:rPr>
          <w:u w:val="single"/>
        </w:rPr>
        <w:t>10.4271/2011-01-2428</w:t>
      </w:r>
      <w:r w:rsidRPr="000E4E44">
        <w:t>.</w:t>
      </w:r>
    </w:p>
    <w:p w14:paraId="3A8B050E" w14:textId="77777777" w:rsidR="000E4E44" w:rsidRDefault="000E4E44" w:rsidP="000E4E44">
      <w:pPr>
        <w:pStyle w:val="List-Ordered-Numeric"/>
      </w:pPr>
      <w:r w:rsidRPr="000E4E44">
        <w:t>Morgan, R., Scullion, P., Nix, L., Kan, C. et al., "Injury Risk Investigation of the Small, Rear-seat Occupant in Side Impact," SAE Technical Paper 2012-01-0092, 2012</w:t>
      </w:r>
      <w:r w:rsidR="00236AC8">
        <w:t>, doi:</w:t>
      </w:r>
      <w:r w:rsidR="00236AC8" w:rsidRPr="002F5464">
        <w:rPr>
          <w:u w:val="single"/>
        </w:rPr>
        <w:t>10.4271/2012-01-0092</w:t>
      </w:r>
      <w:r w:rsidRPr="002F5464">
        <w:t>.</w:t>
      </w:r>
    </w:p>
    <w:p w14:paraId="024DAAFA" w14:textId="77777777" w:rsidR="00824BDB" w:rsidRPr="00824BDB" w:rsidRDefault="00824BDB" w:rsidP="00FC30DF">
      <w:pPr>
        <w:pStyle w:val="List-Ordered-Numeric"/>
      </w:pPr>
      <w:r w:rsidRPr="00824BDB">
        <w:t xml:space="preserve">Kimura, Y. and Murakami, M., "Analysis of Piston Friction - Effects of Cylinder Bore Temperature Distribution and Oil Temperature," </w:t>
      </w:r>
      <w:r w:rsidRPr="00FC30DF">
        <w:rPr>
          <w:i/>
        </w:rPr>
        <w:t>SAE Int. J. Fuels Lubr.</w:t>
      </w:r>
      <w:r w:rsidRPr="00824BDB">
        <w:t xml:space="preserve"> 5(1):1-6, 2012, </w:t>
      </w:r>
      <w:r w:rsidRPr="002F1E37">
        <w:t>doi:</w:t>
      </w:r>
      <w:r w:rsidRPr="002F5464">
        <w:t>10.4271/2011-01-1746.</w:t>
      </w:r>
    </w:p>
    <w:p w14:paraId="78A4F7D5" w14:textId="77777777" w:rsidR="00D328BE" w:rsidRPr="006155E9" w:rsidRDefault="00FA2863" w:rsidP="00D328BE">
      <w:pPr>
        <w:pStyle w:val="List-Ordered-Numeric"/>
      </w:pPr>
      <w:r w:rsidRPr="006155E9">
        <w:t>SAE International Surface Vehicle Recommended Practice, “Laboratory Measurement of the Composite Vibration Damping Properties of Material on a Supporting Steel Bar,” SAE Standard J1637, Rev. Aug. 2007.</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7307A1D6" w14:textId="77777777" w:rsidR="007959D7" w:rsidRDefault="007959D7" w:rsidP="007959D7">
      <w:r>
        <w:t>If the Acknowledgments section is not wanted, delete this heading and text.</w:t>
      </w:r>
    </w:p>
    <w:p w14:paraId="06D88F2C" w14:textId="77777777" w:rsidR="00B01FCD" w:rsidRDefault="001E0A92" w:rsidP="009E7CF2">
      <w:pPr>
        <w:pStyle w:val="Head1"/>
      </w:pPr>
      <w:r>
        <w:t>Definition</w:t>
      </w:r>
      <w:r w:rsidR="002C6C40">
        <w:t>s</w:t>
      </w:r>
      <w:r>
        <w:t>/Abbreviation</w:t>
      </w:r>
      <w:r w:rsidR="002C6C40">
        <w:t>s</w:t>
      </w:r>
    </w:p>
    <w:tbl>
      <w:tblPr>
        <w:tblStyle w:val="BorderlessTable"/>
        <w:tblW w:w="5148" w:type="dxa"/>
        <w:tblLook w:val="01E0" w:firstRow="1" w:lastRow="1" w:firstColumn="1" w:lastColumn="1" w:noHBand="0" w:noVBand="0"/>
      </w:tblPr>
      <w:tblGrid>
        <w:gridCol w:w="1368"/>
        <w:gridCol w:w="3780"/>
      </w:tblGrid>
      <w:tr w:rsidR="008C19F5" w:rsidRPr="00BA647B" w14:paraId="37FCDAB8" w14:textId="77777777" w:rsidTr="00DF2BB2">
        <w:tc>
          <w:tcPr>
            <w:tcW w:w="1368" w:type="dxa"/>
          </w:tcPr>
          <w:p w14:paraId="3CF94B59" w14:textId="77777777" w:rsidR="008C19F5" w:rsidRPr="00BA647B" w:rsidRDefault="008C19F5" w:rsidP="00DF2BB2">
            <w:pPr>
              <w:pStyle w:val="DefinitionTerm"/>
            </w:pPr>
            <w:r>
              <w:t>SA</w:t>
            </w:r>
          </w:p>
        </w:tc>
        <w:tc>
          <w:tcPr>
            <w:tcW w:w="3780" w:type="dxa"/>
          </w:tcPr>
          <w:p w14:paraId="42CC704C" w14:textId="77777777" w:rsidR="008C19F5" w:rsidRPr="00BA647B" w:rsidRDefault="008C19F5" w:rsidP="00CA09F0">
            <w:pPr>
              <w:pStyle w:val="Definition"/>
            </w:pPr>
            <w:r>
              <w:t>sample abbreviations</w:t>
            </w:r>
          </w:p>
        </w:tc>
      </w:tr>
      <w:tr w:rsidR="008C19F5" w:rsidRPr="00BA647B" w14:paraId="68E2643A" w14:textId="77777777" w:rsidTr="00DF2BB2">
        <w:tc>
          <w:tcPr>
            <w:tcW w:w="1368" w:type="dxa"/>
          </w:tcPr>
          <w:p w14:paraId="7A5F86C7" w14:textId="77777777" w:rsidR="008C19F5" w:rsidRPr="00BA647B" w:rsidRDefault="008C19F5" w:rsidP="00DF2BB2">
            <w:pPr>
              <w:pStyle w:val="DefinitionTerm"/>
            </w:pPr>
            <w:r>
              <w:t>UBT</w:t>
            </w:r>
          </w:p>
        </w:tc>
        <w:tc>
          <w:tcPr>
            <w:tcW w:w="3780" w:type="dxa"/>
          </w:tcPr>
          <w:p w14:paraId="3DC27A80" w14:textId="77777777" w:rsidR="008C19F5" w:rsidRPr="00BA647B" w:rsidRDefault="005B6432" w:rsidP="00CA09F0">
            <w:pPr>
              <w:pStyle w:val="Definition"/>
            </w:pPr>
            <w:r>
              <w:t>U</w:t>
            </w:r>
            <w:r w:rsidR="008C19F5">
              <w:t>se borderless table ≤ 3.5 inches wide</w:t>
            </w:r>
            <w:r>
              <w:t>.</w:t>
            </w:r>
          </w:p>
        </w:tc>
      </w:tr>
      <w:tr w:rsidR="00CD7086" w:rsidRPr="00BA647B" w14:paraId="763B5210" w14:textId="77777777" w:rsidTr="00DF2BB2">
        <w:tc>
          <w:tcPr>
            <w:tcW w:w="1368" w:type="dxa"/>
          </w:tcPr>
          <w:p w14:paraId="502BFC35" w14:textId="77777777" w:rsidR="00CD7086" w:rsidRDefault="00CD7086" w:rsidP="00DF2BB2">
            <w:pPr>
              <w:pStyle w:val="DefinitionTerm"/>
            </w:pPr>
            <w:r>
              <w:t>test vector</w:t>
            </w:r>
          </w:p>
        </w:tc>
        <w:tc>
          <w:tcPr>
            <w:tcW w:w="3780" w:type="dxa"/>
          </w:tcPr>
          <w:p w14:paraId="42774FC0" w14:textId="77777777" w:rsidR="002B1648" w:rsidRPr="002B1648" w:rsidRDefault="00CA09F0" w:rsidP="00CA09F0">
            <w:pPr>
              <w:pStyle w:val="Definition"/>
            </w:pPr>
            <w:r>
              <w:t>D</w:t>
            </w:r>
            <w:r w:rsidR="00CD7086">
              <w:t>on</w:t>
            </w:r>
            <w:r>
              <w:t>’</w:t>
            </w:r>
            <w:r w:rsidR="00CD7086">
              <w:t>t capitalize term unless an acronym</w:t>
            </w:r>
            <w:r w:rsidR="00DF2BB2">
              <w:t xml:space="preserve"> or proper noun</w:t>
            </w:r>
            <w:r w:rsidR="005B6432">
              <w:t>.</w:t>
            </w:r>
          </w:p>
        </w:tc>
      </w:tr>
    </w:tbl>
    <w:p w14:paraId="5CC81D6E" w14:textId="77777777" w:rsidR="00CA09F0" w:rsidRDefault="00CA09F0" w:rsidP="00C511C8">
      <w:pPr>
        <w:pStyle w:val="Author"/>
      </w:pPr>
    </w:p>
    <w:p w14:paraId="041DFB47" w14:textId="77777777" w:rsidR="00CA09F0" w:rsidRDefault="00CA09F0" w:rsidP="00C511C8">
      <w:pPr>
        <w:pStyle w:val="Author"/>
      </w:pPr>
    </w:p>
    <w:p w14:paraId="0D3D7F01" w14:textId="77777777" w:rsidR="00CA09F0" w:rsidRDefault="00CA09F0" w:rsidP="00C511C8">
      <w:pPr>
        <w:pStyle w:val="Author"/>
      </w:pPr>
    </w:p>
    <w:p w14:paraId="0B3E0349" w14:textId="77777777" w:rsidR="00CA09F0" w:rsidRDefault="00CA09F0" w:rsidP="00C511C8">
      <w:pPr>
        <w:pStyle w:val="Author"/>
      </w:pPr>
    </w:p>
    <w:p w14:paraId="6510CAA7" w14:textId="77777777" w:rsidR="00CA09F0" w:rsidRDefault="00CA09F0" w:rsidP="00C511C8">
      <w:pPr>
        <w:pStyle w:val="Author"/>
      </w:pPr>
    </w:p>
    <w:p w14:paraId="503B5F47" w14:textId="77777777" w:rsidR="00CA09F0" w:rsidRDefault="00CA09F0" w:rsidP="00C511C8">
      <w:pPr>
        <w:pStyle w:val="Author"/>
      </w:pPr>
    </w:p>
    <w:p w14:paraId="10C3153E" w14:textId="77777777" w:rsidR="00CA09F0" w:rsidRDefault="00CA09F0" w:rsidP="00C511C8">
      <w:pPr>
        <w:pStyle w:val="Author"/>
      </w:pPr>
    </w:p>
    <w:p w14:paraId="271294F6" w14:textId="77777777" w:rsidR="00C511C8" w:rsidRDefault="00C511C8" w:rsidP="00C511C8">
      <w:pPr>
        <w:pStyle w:val="Author"/>
        <w:rPr>
          <w:szCs w:val="28"/>
        </w:rPr>
      </w:pPr>
      <w:r>
        <w:br w:type="page"/>
      </w:r>
    </w:p>
    <w:p w14:paraId="0EE96601" w14:textId="77777777" w:rsidR="00C511C8" w:rsidRDefault="00C511C8" w:rsidP="00E20066">
      <w:pPr>
        <w:pStyle w:val="Head1"/>
        <w:sectPr w:rsidR="00C511C8" w:rsidSect="006009F0">
          <w:type w:val="continuous"/>
          <w:pgSz w:w="12240" w:h="15840"/>
          <w:pgMar w:top="720" w:right="720" w:bottom="720" w:left="720" w:header="720" w:footer="720" w:gutter="0"/>
          <w:cols w:num="2" w:space="720"/>
          <w:docGrid w:linePitch="360"/>
        </w:sectPr>
      </w:pPr>
    </w:p>
    <w:p w14:paraId="2AFAF687" w14:textId="77777777" w:rsidR="00E21ADE" w:rsidRDefault="00B01FCD" w:rsidP="00E20066">
      <w:pPr>
        <w:pStyle w:val="Head1"/>
      </w:pPr>
      <w:r>
        <w:lastRenderedPageBreak/>
        <w:t>A</w:t>
      </w:r>
      <w:r w:rsidR="002C6C40">
        <w:t>ppendix</w:t>
      </w:r>
    </w:p>
    <w:p w14:paraId="78D05B6D" w14:textId="77777777" w:rsidR="00D3332D" w:rsidRDefault="006009F0" w:rsidP="006009F0">
      <w:r>
        <w:t>The Appendix is one-column</w:t>
      </w:r>
      <w:r w:rsidR="007F70DE">
        <w:t xml:space="preserve">. </w:t>
      </w:r>
      <w:r>
        <w:t>If you have an appendix in your document, you will need to insert a continuous page break and set the columns to one</w:t>
      </w:r>
      <w:r w:rsidR="007F70DE">
        <w:t xml:space="preserve">. </w:t>
      </w:r>
      <w:r>
        <w:t>If you do not have an appendix in your document, this paragraph can be ignored</w:t>
      </w:r>
      <w:r w:rsidR="00CD7086">
        <w:t xml:space="preserve"> and the heading </w:t>
      </w:r>
      <w:r w:rsidR="00C511C8">
        <w:t xml:space="preserve">and section break </w:t>
      </w:r>
      <w:r w:rsidR="00CD7086">
        <w:t>deleted</w:t>
      </w:r>
      <w:r>
        <w:t>.</w:t>
      </w:r>
    </w:p>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41A7D412" w14:textId="77777777" w:rsidR="002B4AD8" w:rsidRDefault="002B4AD8"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77777777" w:rsidR="002B4AD8" w:rsidRDefault="002B4AD8" w:rsidP="002B4AD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7D412" w15:done="0"/>
  <w15:commentEx w15:paraId="5E7F90D3" w15:paraIdParent="41A7D4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E9F50" w14:textId="77777777" w:rsidR="008B65D4" w:rsidRDefault="008B65D4" w:rsidP="00A418D3">
      <w:r>
        <w:separator/>
      </w:r>
    </w:p>
  </w:endnote>
  <w:endnote w:type="continuationSeparator" w:id="0">
    <w:p w14:paraId="12924E2A" w14:textId="77777777" w:rsidR="008B65D4" w:rsidRDefault="008B65D4"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2B4AD8" w:rsidRPr="009F7DCB" w:rsidRDefault="002B4AD8" w:rsidP="009F7DCB">
    <w:r w:rsidRPr="009F7DCB">
      <w:fldChar w:fldCharType="begin"/>
    </w:r>
    <w:r w:rsidRPr="009F7DCB">
      <w:instrText xml:space="preserve">PAGE  </w:instrText>
    </w:r>
    <w:r w:rsidRPr="009F7DCB">
      <w:fldChar w:fldCharType="end"/>
    </w:r>
  </w:p>
  <w:p w14:paraId="5853FC6D" w14:textId="77777777" w:rsidR="002B4AD8" w:rsidRDefault="002B4AD8" w:rsidP="00C621E9"/>
  <w:p w14:paraId="2907D404" w14:textId="77777777" w:rsidR="002B4AD8" w:rsidRDefault="002B4AD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77777777" w:rsidR="002B4AD8" w:rsidRPr="00BF0C74" w:rsidRDefault="002B4AD8" w:rsidP="004676DD">
        <w:r w:rsidRPr="00BF0C74">
          <w:t xml:space="preserve">Page </w:t>
        </w:r>
        <w:r>
          <w:fldChar w:fldCharType="begin"/>
        </w:r>
        <w:r>
          <w:instrText xml:space="preserve"> PAGE </w:instrText>
        </w:r>
        <w:r>
          <w:fldChar w:fldCharType="separate"/>
        </w:r>
        <w:r w:rsidR="00F6554A">
          <w:rPr>
            <w:noProof/>
          </w:rPr>
          <w:t>8</w:t>
        </w:r>
        <w:r>
          <w:rPr>
            <w:noProof/>
          </w:rPr>
          <w:fldChar w:fldCharType="end"/>
        </w:r>
        <w:r w:rsidRPr="00BF0C74">
          <w:t xml:space="preserve"> of </w:t>
        </w:r>
        <w:r>
          <w:fldChar w:fldCharType="begin"/>
        </w:r>
        <w:r>
          <w:instrText xml:space="preserve"> NUMPAGES  </w:instrText>
        </w:r>
        <w:r>
          <w:fldChar w:fldCharType="separate"/>
        </w:r>
        <w:r w:rsidR="00F6554A">
          <w:rPr>
            <w:noProof/>
          </w:rPr>
          <w:t>8</w:t>
        </w:r>
        <w:r>
          <w:rPr>
            <w:noProof/>
          </w:rPr>
          <w:fldChar w:fldCharType="end"/>
        </w:r>
      </w:p>
    </w:sdtContent>
  </w:sdt>
  <w:p w14:paraId="24DA274C" w14:textId="77777777" w:rsidR="002B4AD8" w:rsidRDefault="002B4AD8" w:rsidP="00A418D3">
    <w:r>
      <w:t>7/20/2015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3383B" w14:textId="77777777" w:rsidR="008B65D4" w:rsidRDefault="008B65D4" w:rsidP="00A418D3">
      <w:r>
        <w:separator/>
      </w:r>
    </w:p>
  </w:footnote>
  <w:footnote w:type="continuationSeparator" w:id="0">
    <w:p w14:paraId="48E1B959" w14:textId="77777777" w:rsidR="008B65D4" w:rsidRDefault="008B65D4"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30174"/>
    <w:rsid w:val="00031728"/>
    <w:rsid w:val="00031B68"/>
    <w:rsid w:val="00056067"/>
    <w:rsid w:val="0005744B"/>
    <w:rsid w:val="00060DD2"/>
    <w:rsid w:val="00066663"/>
    <w:rsid w:val="0006755B"/>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D1C28"/>
    <w:rsid w:val="001D2695"/>
    <w:rsid w:val="001D47E6"/>
    <w:rsid w:val="001E0A92"/>
    <w:rsid w:val="001E6FE0"/>
    <w:rsid w:val="001E75DC"/>
    <w:rsid w:val="001F29BF"/>
    <w:rsid w:val="001F2DFC"/>
    <w:rsid w:val="00200166"/>
    <w:rsid w:val="00217179"/>
    <w:rsid w:val="002249F8"/>
    <w:rsid w:val="0023013F"/>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B4AD8"/>
    <w:rsid w:val="002C0024"/>
    <w:rsid w:val="002C0E22"/>
    <w:rsid w:val="002C6C40"/>
    <w:rsid w:val="002C7AB2"/>
    <w:rsid w:val="002D0E56"/>
    <w:rsid w:val="002D3324"/>
    <w:rsid w:val="002D4E1B"/>
    <w:rsid w:val="002D60E0"/>
    <w:rsid w:val="002E0F3C"/>
    <w:rsid w:val="002E2BD5"/>
    <w:rsid w:val="002E4534"/>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B012B"/>
    <w:rsid w:val="003B2388"/>
    <w:rsid w:val="003C05EF"/>
    <w:rsid w:val="003C1FE8"/>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623C5"/>
    <w:rsid w:val="00466818"/>
    <w:rsid w:val="004676DD"/>
    <w:rsid w:val="00471829"/>
    <w:rsid w:val="00474C22"/>
    <w:rsid w:val="00482161"/>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460F"/>
    <w:rsid w:val="00534690"/>
    <w:rsid w:val="00542676"/>
    <w:rsid w:val="00543C02"/>
    <w:rsid w:val="00563CA2"/>
    <w:rsid w:val="00565800"/>
    <w:rsid w:val="00571B58"/>
    <w:rsid w:val="00576410"/>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A10F3"/>
    <w:rsid w:val="008B65D4"/>
    <w:rsid w:val="008C19F5"/>
    <w:rsid w:val="008D142E"/>
    <w:rsid w:val="008D2D21"/>
    <w:rsid w:val="008E1A38"/>
    <w:rsid w:val="008E34D0"/>
    <w:rsid w:val="008E573A"/>
    <w:rsid w:val="008E711F"/>
    <w:rsid w:val="009002DE"/>
    <w:rsid w:val="009006DC"/>
    <w:rsid w:val="009035C5"/>
    <w:rsid w:val="00910060"/>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4E0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A5C6B"/>
    <w:rsid w:val="00BA67D3"/>
    <w:rsid w:val="00BB0F44"/>
    <w:rsid w:val="00BB10BC"/>
    <w:rsid w:val="00BB23D0"/>
    <w:rsid w:val="00BE3714"/>
    <w:rsid w:val="00BE74D4"/>
    <w:rsid w:val="00BF0C74"/>
    <w:rsid w:val="00BF5794"/>
    <w:rsid w:val="00BF7087"/>
    <w:rsid w:val="00C0692C"/>
    <w:rsid w:val="00C06DB0"/>
    <w:rsid w:val="00C124C3"/>
    <w:rsid w:val="00C205BD"/>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7E2"/>
    <w:rsid w:val="00D31CA6"/>
    <w:rsid w:val="00D328BE"/>
    <w:rsid w:val="00D3332D"/>
    <w:rsid w:val="00D400A8"/>
    <w:rsid w:val="00D53402"/>
    <w:rsid w:val="00D60647"/>
    <w:rsid w:val="00D71F6D"/>
    <w:rsid w:val="00D76E7B"/>
    <w:rsid w:val="00D7754F"/>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semiHidden/>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2B4AD8"/>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jpeg"/><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A7611-8336-40A8-9CAE-E2C10AAA4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12</TotalTime>
  <Pages>8</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2</cp:revision>
  <cp:lastPrinted>2015-07-23T12:51:00Z</cp:lastPrinted>
  <dcterms:created xsi:type="dcterms:W3CDTF">2019-10-22T16:59:00Z</dcterms:created>
  <dcterms:modified xsi:type="dcterms:W3CDTF">2019-10-22T17:15:00Z</dcterms:modified>
</cp:coreProperties>
</file>