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2722"/>
        <w:gridCol w:w="2428"/>
        <w:gridCol w:w="1903"/>
        <w:gridCol w:w="1891"/>
        <w:gridCol w:w="2269"/>
        <w:gridCol w:w="2233"/>
        <w:gridCol w:w="1963"/>
        <w:gridCol w:w="1927"/>
        <w:gridCol w:w="1976"/>
        <w:gridCol w:w="2086"/>
        <w:gridCol w:w="2122"/>
        <w:gridCol w:w="1854"/>
        <w:gridCol w:w="1964"/>
        <w:gridCol w:w="2000"/>
        <w:gridCol w:w="2624"/>
        <w:gridCol w:w="2710"/>
      </w:tblGrid>
      <w:tr>
        <w:trPr>
          <w:trHeight w:val="638" w:hRule="auto"/>
          <w:tblHeader/>
        </w:trPr>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Combined Diagnostics: Cumulative Gains + Brown–Forsythe + KS FOSD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BF_F_between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BF_p_between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0.8764805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0.8443316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0.6077577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0.4357897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0.1522843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0.000001116196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0.00676819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0.9732904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0.005076142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0.03384095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-0.1269036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-0.179357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-0.09306261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0.1163</w:t>
            </w:r>
          </w:p>
        </w:tc>
      </w:tr>
      <w:tr>
        <w:trPr>
          <w:trHeight w:val="360" w:hRule="auto"/>
        </w:trPr>
        <w:tc>
          <w:tcPr>
            <w:gridSpan w:val="1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test: one-sided tests for first-order stochastic dominance; lower percentiles are better.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2026-08-16T16:08:28Z</dcterms:modified>
  <cp:category/>
</cp:coreProperties>
</file>