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Proposed u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985"/>
        <w:gridCol w:w="1451"/>
        <w:gridCol w:w="1071"/>
        <w:gridCol w:w="1451"/>
        <w:gridCol w:w="1451"/>
        <w:gridCol w:w="1451"/>
        <w:gridCol w:w="1451"/>
        <w:gridCol w:w="1451"/>
        <w:gridCol w:w="1451"/>
        <w:gridCol w:w="1451"/>
        <w:gridCol w:w="1829"/>
        <w:gridCol w:w="1915"/>
        <w:gridCol w:w="1524"/>
        <w:gridCol w:w="1695"/>
        <w:gridCol w:w="1732"/>
        <w:gridCol w:w="1940"/>
        <w:gridCol w:w="1976"/>
        <w:gridCol w:w="1646"/>
        <w:gridCol w:w="1976"/>
        <w:gridCol w:w="2086"/>
        <w:gridCol w:w="2122"/>
        <w:gridCol w:w="1854"/>
        <w:gridCol w:w="1964"/>
        <w:gridCol w:w="2000"/>
        <w:gridCol w:w="2563"/>
        <w:gridCol w:w="2649"/>
        <w:gridCol w:w="1218"/>
        <w:gridCol w:w="1365"/>
        <w:gridCol w:w="1487"/>
        <w:gridCol w:w="1609"/>
        <w:gridCol w:w="2258"/>
        <w:gridCol w:w="2258"/>
        <w:gridCol w:w="1218"/>
        <w:gridCol w:w="8958"/>
      </w:tblGrid>
      <w:tr>
        <w:trPr>
          <w:trHeight w:val="638" w:hRule="auto"/>
          <w:tblHeader/>
        </w:trPr>
        <w:tc>
          <w:tcPr>
            <w:gridSpan w:val="3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Proposed u based on fairness criteria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mean_pct_low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mean_pct_high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pass_FOSD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fosd_pass_delta10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fosd_pass_delta05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decision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0.8417266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0.8505747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0.7257063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0.9895975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0.9368299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0.9991355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0.9449852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0.9981188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10.49843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9.633565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-0.8648634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-3.037868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1.51153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-2.677584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1.104561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-0.04752151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0.07814438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0.04589018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0.1394009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-0.01066733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-0.04649591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-0.003349045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Selected as Proposed u (meets DI, gap, and SMD gates; FOSD reported diagnostically)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2026-08-16T16:07:53Z</dcterms:modified>
  <cp:category/>
</cp:coreProperties>
</file>