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2049"/>
        <w:gridCol w:w="1451"/>
        <w:gridCol w:w="1451"/>
        <w:gridCol w:w="1573"/>
        <w:gridCol w:w="1451"/>
        <w:gridCol w:w="1451"/>
        <w:gridCol w:w="1548"/>
      </w:tblGrid>
      <w:tr>
        <w:trPr>
          <w:trHeight w:val="638" w:hRule="auto"/>
          <w:tblHeader/>
        </w:trPr>
        <w:tc>
          <w:tcPr>
            <w:gridSpan w:val="8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Table A: Rank Distribution Summaries by Year and Method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pct_rank1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pct_23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pct_45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pct_top20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median_pct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0.2436548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0.1878173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0.08629442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0.8477157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9.668842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2.721088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0.1522843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0.1421320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0.13705584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0.8274112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11.332957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5.185185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0.2613240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0.1707317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0.11846690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0.8954704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7.966138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1.444043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0.1742160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0.1428571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0.10452962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0.8675958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8.503460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2.464789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0.3084112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0.3364486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0.10280374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0.8785047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9.482087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2.083333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0.2336449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0.1962617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0.15887850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0.8130841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12.455068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5.769231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Rank bins based on GS stable matching output; top-20% defined as mentor_percentile ≤ 20.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2026-08-16T16:07:50Z</dcterms:modified>
  <cp:category/>
</cp:coreProperties>
</file>