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2049"/>
        <w:gridCol w:w="1451"/>
        <w:gridCol w:w="1451"/>
        <w:gridCol w:w="1573"/>
        <w:gridCol w:w="1451"/>
        <w:gridCol w:w="1451"/>
        <w:gridCol w:w="1548"/>
      </w:tblGrid>
      <w:tr>
        <w:trPr>
          <w:trHeight w:val="638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A: Rank Distribution Summaries by Year and Method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pct_rank1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pct_top20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0.2601156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0.1734104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0.10982659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0.8265896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11.101230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3.418803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0.1271676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0.12716763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11.253030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4.838710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0.1557971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0.11231884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0.8985507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8.021602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1.509434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0.1702899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0.08695652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8.977013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2.564103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13.861111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2.777778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15.736842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7.894737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Rank bins based on GS stable matching output; top-20% defined as mentor_percentile ≤ 20.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2026-08-18T00:06:01Z</dcterms:modified>
  <cp:category/>
</cp:coreProperties>
</file>