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Disparate Impact (DI)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2"/>
        <w:gridCol w:w="1193"/>
        <w:gridCol w:w="1560"/>
        <w:gridCol w:w="1157"/>
        <w:gridCol w:w="961"/>
        <w:gridCol w:w="1756"/>
        <w:gridCol w:w="1279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Disparate Impact (DI) – Grades 1–4 vs Grades 5+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max grp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min grp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80% rule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89.66%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87.29%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[0.931, 0.998]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DI = SR_min / SR_max, using positive outcome = mentor_percentile ≤ threshold (Top-p).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'80% rule' shows whether DI ≥ 0.80 (UGESP).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95% CI via bootstrap on the two selection rates.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2026-08-04T19:32:10Z</dcterms:modified>
  <cp:category/>
</cp:coreProperties>
</file>