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16"/>
        <w:gridCol w:w="2722"/>
        <w:gridCol w:w="2428"/>
        <w:gridCol w:w="1903"/>
        <w:gridCol w:w="1891"/>
        <w:gridCol w:w="2269"/>
        <w:gridCol w:w="2233"/>
        <w:gridCol w:w="1963"/>
        <w:gridCol w:w="1927"/>
        <w:gridCol w:w="1976"/>
        <w:gridCol w:w="2086"/>
        <w:gridCol w:w="2122"/>
        <w:gridCol w:w="1854"/>
        <w:gridCol w:w="1964"/>
        <w:gridCol w:w="2000"/>
        <w:gridCol w:w="2624"/>
        <w:gridCol w:w="2710"/>
      </w:tblGrid>
      <w:tr>
        <w:trPr>
          <w:trHeight w:val="638" w:hRule="auto"/>
          <w:tblHeader/>
        </w:trPr>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Combined Diagnostics: Cumulative Gains + Brown–Forsythe + KS FOSD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MW_cumgain_top20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BF_F_between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BF_p_between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KS_p_cos_greater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KS_D_mw_less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KS_p_mw_less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FOSD_sup_CI_U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FOSD_obs_inf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FOSD_inf_CI_U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MW_Dominance_Prob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COS_Dominance_Prob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0.8984772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0.893401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0.650511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0.4200926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0.03722504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0.4408939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0.05245347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0.1967035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0.05245347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0.02030457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0.0998308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-0.02707276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-0.07783418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-0.00676819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</w:tr>
      <w:tr>
        <w:trPr>
          <w:trHeight w:val="360" w:hRule="auto"/>
        </w:trPr>
        <w:tc>
          <w:tcPr>
            <w:gridSpan w:val="1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test: one-sided tests for first-order stochastic dominance; lower percentiles are better.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2026-08-04T14:54:43Z</dcterms:modified>
  <cp:category/>
</cp:coreProperties>
</file>