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2722"/>
        <w:gridCol w:w="2428"/>
        <w:gridCol w:w="1903"/>
        <w:gridCol w:w="1891"/>
        <w:gridCol w:w="2269"/>
        <w:gridCol w:w="2233"/>
        <w:gridCol w:w="1963"/>
        <w:gridCol w:w="1927"/>
        <w:gridCol w:w="1976"/>
        <w:gridCol w:w="2086"/>
        <w:gridCol w:w="2122"/>
        <w:gridCol w:w="1854"/>
        <w:gridCol w:w="1964"/>
        <w:gridCol w:w="2000"/>
        <w:gridCol w:w="2624"/>
        <w:gridCol w:w="2710"/>
      </w:tblGrid>
      <w:tr>
        <w:trPr>
          <w:trHeight w:val="638" w:hRule="auto"/>
          <w:tblHeader/>
        </w:trPr>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Combined Diagnostics: Cumulative Gains + Brown–Forsythe + KS FOSD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BF_F_between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BF_p_between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0.8900169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0.8697124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1.035918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0.3089814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0.08460237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0.01455067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0.01184433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0.9204337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0.005076142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0.0321489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-0.07783418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-0.1285956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-0.04399323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test: one-sided tests for first-order stochastic dominance; lower percentiles are better.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2026-08-04T19:33:40Z</dcterms:modified>
  <cp:category/>
</cp:coreProperties>
</file>