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2049"/>
        <w:gridCol w:w="1451"/>
        <w:gridCol w:w="1451"/>
        <w:gridCol w:w="1573"/>
        <w:gridCol w:w="1451"/>
        <w:gridCol w:w="1451"/>
        <w:gridCol w:w="1548"/>
      </w:tblGrid>
      <w:tr>
        <w:trPr>
          <w:trHeight w:val="63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A: Rank Distribution Summaries by Year and Method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pct_rank1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pct_45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0.2436548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0.1878173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0.08629442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9.668842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2.721088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0.13705584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11.332957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5.185185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0.1637631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0.12195122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1.063830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0.2926829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0.1567944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0.11846690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6.431933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1.052632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0.4392523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0.1962617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0.14953271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9.789720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0.3925234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0.2616822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0.11214953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0.8037383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13.263839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7.692308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Rank bins based on GS stable matching output; top-20% defined as mentor_percentile ≤ 20.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2026-08-04T19:33:06Z</dcterms:modified>
  <cp:category/>
</cp:coreProperties>
</file>