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Disparate Impact (DI)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93"/>
        <w:gridCol w:w="1560"/>
        <w:gridCol w:w="1157"/>
        <w:gridCol w:w="961"/>
        <w:gridCol w:w="1756"/>
        <w:gridCol w:w="1279"/>
      </w:tblGrid>
      <w:tr>
        <w:trPr>
          <w:trHeight w:val="638" w:hRule="auto"/>
          <w:tblHeader/>
        </w:trPr>
        <w:tc>
          <w:tcPr>
            <w:gridSpan w:val="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Disparate Impact (DI) – Grades 1–4 vs Grades 5+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SR max grp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SR 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SR min grp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SR 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80% rule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5+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89.66%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Grades 1–4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87.29%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[0.931, 0.998]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Notes: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DI = SR_min / SR_max, using positive outcome = mentor_percentile ≤ threshold (Top-p).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'80% rule' shows whether DI ≥ 0.80 (UGESP).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95% CI via bootstrap on the two selection rates.</w:t>
            </w:r>
          </w:p>
        </w:tc>
      </w:tr>
    </w:tbl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2026-08-05T09:47:28Z</dcterms:modified>
  <cp:category/>
</cp:coreProperties>
</file>