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2"/>
      </w:pPr>
      <w:r>
        <w:t xml:space="preserve">Diagnostics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716"/>
        <w:gridCol w:w="2722"/>
        <w:gridCol w:w="2428"/>
        <w:gridCol w:w="1903"/>
        <w:gridCol w:w="1891"/>
        <w:gridCol w:w="2269"/>
        <w:gridCol w:w="2233"/>
        <w:gridCol w:w="1963"/>
        <w:gridCol w:w="1927"/>
        <w:gridCol w:w="1976"/>
        <w:gridCol w:w="2086"/>
        <w:gridCol w:w="2122"/>
        <w:gridCol w:w="1854"/>
        <w:gridCol w:w="1964"/>
        <w:gridCol w:w="2000"/>
        <w:gridCol w:w="2624"/>
        <w:gridCol w:w="2710"/>
      </w:tblGrid>
      <w:tr>
        <w:trPr>
          <w:trHeight w:val="638" w:hRule="auto"/>
          <w:tblHeader/>
        </w:trPr>
        <w:tc>
          <w:tcPr>
            <w:gridSpan w:val="17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Combined Diagnostics: Cumulative Gains + Brown–Forsythe + KS FOSD</w:t>
            </w:r>
          </w:p>
        </w:tc>
      </w:tr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Cosine_cumgain_top20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MW_cumgain_top20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BF_F_between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BF_p_between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KS_D_cos_greater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KS_p_cos_greater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KS_D_mw_less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KS_p_mw_less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FOSD_obs_sup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FOSD_sup_CI_L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FOSD_sup_CI_U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FOSD_obs_inf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FOSD_inf_CI_L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FOSD_inf_CI_U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MW_Dominance_Prob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COS_Dominance_Prob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0.8900169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0.8697124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1.035918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0.3089814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0.08460237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0.01455067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0.01184433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0.9204337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0.005076142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0.0321489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-0.07783418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-0.1285956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-0.04399323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0.1225</w:t>
            </w:r>
          </w:p>
        </w:tc>
      </w:tr>
      <w:tr>
        <w:trPr>
          <w:trHeight w:val="360" w:hRule="auto"/>
        </w:trPr>
        <w:tc>
          <w:tcPr>
            <w:gridSpan w:val="17"/>
            <w:tcBorders>
              <w:bottom w:val="none" w:sz="0" w:space="0" w:color="FFFFFF"/>
              <w:top w:val="single" w:sz="12" w:space="0" w:color="666666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 test: one-sided tests for first-order stochastic dominance; lower percentiles are better.</w:t>
            </w:r>
          </w:p>
        </w:tc>
      </w:tr>
    </w:tbl>
    <w:sectPr>
      <w:pgMar w:header="720" w:bottom="1440" w:top="1440" w:right="1440" w:left="1440" w:footer="720" w:gutter="0"/>
      <w:pgSz w:h="15840" w:w="12240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2026-08-05T09:49:03Z</dcterms:modified>
  <cp:category/>
</cp:coreProperties>
</file>