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2049"/>
        <w:gridCol w:w="1451"/>
        <w:gridCol w:w="1451"/>
        <w:gridCol w:w="1573"/>
        <w:gridCol w:w="1451"/>
        <w:gridCol w:w="1451"/>
        <w:gridCol w:w="1548"/>
      </w:tblGrid>
      <w:tr>
        <w:trPr>
          <w:trHeight w:val="638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A: Rank Distribution Summaries by Year and Method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pct_rank1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pct_45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0.2436548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0.1878173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0.08629442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0.8477157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9.668842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2.721088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0.1522843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0.1421320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0.13705584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0.8274112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11.332957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5.185185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0.2822300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0.1637631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0.12195122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0.9233449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6.510243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1.063830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0.2926829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0.1567944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0.11846690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0.9233449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6.431933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1.052632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0.4392523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0.1962617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0.14953271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0.8785047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9.789720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2.500000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0.3925234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0.2616822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0.11214953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0.8037383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13.263839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7.692308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Rank bins based on GS stable matching output; top-20% defined as mentor_percentile ≤ 20.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2026-08-05T09:48:29Z</dcterms:modified>
  <cp:category/>
</cp:coreProperties>
</file>