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Cohort and balance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1499"/>
        <w:gridCol w:w="1915"/>
        <w:gridCol w:w="3199"/>
        <w:gridCol w:w="2685"/>
        <w:gridCol w:w="3175"/>
        <w:gridCol w:w="1071"/>
      </w:tblGrid>
      <w:tr>
        <w:trPr>
          <w:trHeight w:val="638" w:hRule="auto"/>
          <w:tblHeader/>
        </w:trPr>
        <w:tc>
          <w:tcPr>
            <w:gridSpan w:val="7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Cohort Size and Mentor Balance by Year (u = 1.50)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n_mentees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n_mentor_slots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n_unique_mentors_matched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mentor_capacity_proxy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n_mentors_with_2_mentees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n_total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214</w:t>
            </w:r>
          </w:p>
        </w:tc>
      </w:tr>
    </w:tbl>
    <w:p>
      <w:pPr>
        <w:pStyle w:val="Titre2"/>
      </w:pPr>
      <w:r>
        <w:t xml:space="preserve">Grade representation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08"/>
        <w:gridCol w:w="1817"/>
        <w:gridCol w:w="2099"/>
        <w:gridCol w:w="1071"/>
        <w:gridCol w:w="1989"/>
        <w:gridCol w:w="2270"/>
      </w:tblGrid>
      <w:tr>
        <w:trPr>
          <w:trHeight w:val="638" w:hRule="auto"/>
          <w:tblHeader/>
        </w:trPr>
        <w:tc>
          <w:tcPr>
            <w:gridSpan w:val="6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Grade Representation Across the Three Program Years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n_grades_1_4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n_grades_5_plus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n_total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pct_grades_1_4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pct_grades_5_plus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34.6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29.4</w:t>
            </w:r>
          </w:p>
        </w:tc>
      </w:tr>
    </w:tbl>
    <w:p>
      <w:pPr>
        <w:pStyle w:val="Titre2"/>
      </w:pPr>
      <w:r>
        <w:t xml:space="preserve">Compatibility summary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49"/>
        <w:gridCol w:w="778"/>
        <w:gridCol w:w="2037"/>
        <w:gridCol w:w="2208"/>
        <w:gridCol w:w="1878"/>
      </w:tblGrid>
      <w:tr>
        <w:trPr>
          <w:trHeight w:val="638" w:hRule="auto"/>
          <w:tblHeader/>
        </w:trPr>
        <w:tc>
          <w:tcPr>
            <w:gridSpan w:val="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Compatibility Summary for Final Matches (u = 1.50)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method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mean_percentile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median_percentile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top20_rate_pct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Top-20% success is defined as mentor_percentile &lt;= 20.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Lower percentile values indicate better predicted compatibility.</w:t>
            </w:r>
          </w:p>
        </w:tc>
      </w:tr>
    </w:tbl>
    <w:p>
      <w:pPr>
        <w:pStyle w:val="Titre2"/>
      </w:pPr>
      <w:r>
        <w:t xml:space="preserve">Method diagnostics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8714"/>
      </w:tblGrid>
      <w:tr>
        <w:trPr>
          <w:trHeight w:val="638" w:hRule="auto"/>
          <w:tblHeader/>
        </w:trPr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Method Comparison Diagnostics: Cosine Similarity vs Matching Words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metric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value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Brown-Forsythe F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[-0.011, +0.051] vs acceptance [-0.05, 0.05]); strict 2pp: Fail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Brown-Forsythe 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[-0.011, +0.051] vs acceptance [-0.05, 0.05]); strict 2pp: Fail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 D (Cosine greater)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[-0.011, +0.051] vs acceptance [-0.05, 0.05]); strict 2pp: Fail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 p (Cosine greater)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[-0.011, +0.051] vs acceptance [-0.05, 0.05]); strict 2pp: Fail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 D (Matching Words less)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[-0.011, +0.051] vs acceptance [-0.05, 0.05]); strict 2pp: Fail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 p (Matching Words less)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[-0.011, +0.051] vs acceptance [-0.05, 0.05]); strict 2pp: Fail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Bootstrap sup gap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[-0.011, +0.051] vs acceptance [-0.05, 0.05]); strict 2pp: Fail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Bootstrap sup CI 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[-0.011, +0.051] vs acceptance [-0.05, 0.05]); strict 2pp: Fail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Bootstrap sup CI 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[-0.011, +0.051] vs acceptance [-0.05, 0.05]); strict 2pp: Fail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Bootstrap inf gap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[-0.011, +0.051] vs acceptance [-0.05, 0.05]); strict 2pp: Fail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Bootstrap inf CI 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[-0.011, +0.051] vs acceptance [-0.05, 0.05]); strict 2pp: Fail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Bootstrap inf CI 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[-0.011, +0.051] vs acceptance [-0.05, 0.05]); strict 2pp: Fail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dominance prob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[-0.011, +0.051] vs acceptance [-0.05, 0.05]); strict 2pp: Fail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 dominance prob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[-0.011, +0.051] vs acceptance [-0.05, 0.05]); strict 2pp: Fail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Equivalence status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[-0.011, +0.051] vs acceptance [-0.05, 0.05]); strict 2pp: Fail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 saved diagnostics are one-sided KS and bootstrap FOSD summaries; they do not establish formal equivalence by themselves.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If equivalence is required in the manuscript, the 90% CI containment gate in the u-sweep tables is the intended criterion.</w:t>
            </w:r>
          </w:p>
        </w:tc>
      </w:tr>
    </w:tbl>
    <w:p>
      <w:pPr>
        <w:pStyle w:val="Titre2"/>
      </w:pPr>
      <w:r>
        <w:t xml:space="preserve">Score logic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495"/>
        <w:gridCol w:w="12578"/>
      </w:tblGrid>
      <w:tr>
        <w:trPr>
          <w:trHeight w:val="638" w:hRule="auto"/>
          <w:tblHeader/>
        </w:trPr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Algorithmic Parameters and Score Logic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item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logic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Final compatibility score used to choose u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total_score = abs(1 - DI) + abs(mean_gap) + 0.5 * abs(SMD) + 0.1 * abs(DI_U - DI_L)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Predicted compatibility percentile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mentor_percentile = 100 * ((GS_mentee_rank_of_mentor - 1) / (max_rank - 1)); 0 = best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Positive match threshold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mentor_percentile &lt;= 20 (Top-20%)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Capacity proxy used in balance table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n_mentor_slots = max(max_rank) in the matched frame; duplicate-slot proxy = n_mentor_slots - n_unique_mentors_matched</w:t>
            </w:r>
          </w:p>
        </w:tc>
      </w:tr>
    </w:tbl>
    <w:p>
      <w:pPr>
        <w:pStyle w:val="Titre2"/>
      </w:pPr>
      <w:r>
        <w:t xml:space="preserve">Method TOST equivalence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08"/>
        <w:gridCol w:w="1340"/>
        <w:gridCol w:w="1683"/>
        <w:gridCol w:w="1046"/>
        <w:gridCol w:w="1389"/>
        <w:gridCol w:w="3064"/>
        <w:gridCol w:w="1536"/>
        <w:gridCol w:w="1572"/>
        <w:gridCol w:w="1181"/>
        <w:gridCol w:w="2783"/>
        <w:gridCol w:w="2514"/>
      </w:tblGrid>
      <w:tr>
        <w:trPr>
          <w:trHeight w:val="638" w:hRule="auto"/>
          <w:tblHeader/>
        </w:trPr>
        <w:tc>
          <w:tcPr>
            <w:gridSpan w:val="11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Formal TOST Equivalence: Cosine Similarity vs Matching Words (Top-20%; u = 1.50)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(Cosine)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Rate (Cosine)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(MW)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Rate (MW)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Δ Rate (Cos−MW)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90% CI 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90% CI 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Equiv ±5pp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Equiv ±2pp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0.8477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0.8274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-0.0408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  <w:t xml:space="preserve">Fail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  <w:t xml:space="preserve">Fail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66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6600"/>
              </w:rPr>
              <w:t xml:space="preserve">Pass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  <w:t xml:space="preserve">Fail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  <w:t xml:space="preserve">Fail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  <w:t xml:space="preserve">Fail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0.8697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-0.0108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0.0581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  <w:t xml:space="preserve">Fail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  <w:t xml:space="preserve">Fail</w:t>
            </w:r>
          </w:p>
        </w:tc>
      </w:tr>
      <w:tr>
        <w:trPr>
          <w:trHeight w:val="360" w:hRule="auto"/>
        </w:trPr>
        <w:tc>
          <w:tcPr>
            <w:gridSpan w:val="11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TOST follows Lo, Datta &amp; Salami (2025), AI and Ethics 5:2149-2164, Section 3.2 (Statistical Parity framework).</w:t>
            </w:r>
          </w:p>
        </w:tc>
      </w:tr>
      <w:tr>
        <w:trPr>
          <w:trHeight w:val="360" w:hRule="auto"/>
        </w:trPr>
        <w:tc>
          <w:tcPr>
            <w:gridSpan w:val="11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Positive outcome: mentor_percentile &lt;= Top-p% threshold. Rate = proportion of mentees receiving a top-p% match.</w:t>
            </w:r>
          </w:p>
        </w:tc>
      </w:tr>
      <w:tr>
        <w:trPr>
          <w:trHeight w:val="360" w:hRule="auto"/>
        </w:trPr>
        <w:tc>
          <w:tcPr>
            <w:gridSpan w:val="11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Delta Rate = Rate(Cosine) - Rate(Matching Words). Equivalence margin: primary +/-5pp, strict +/-2pp.</w:t>
            </w:r>
          </w:p>
        </w:tc>
      </w:tr>
      <w:tr>
        <w:trPr>
          <w:trHeight w:val="360" w:hRule="auto"/>
        </w:trPr>
        <w:tc>
          <w:tcPr>
            <w:gridSpan w:val="11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90% CI = (1 - 2*alpha)*100% confidence interval at alpha = 0.05; equivalence is concluded when the entire CI lies within the acceptance band.</w:t>
            </w:r>
          </w:p>
        </w:tc>
      </w:tr>
      <w:tr>
        <w:trPr>
          <w:trHeight w:val="360" w:hRule="auto"/>
        </w:trPr>
        <w:tc>
          <w:tcPr>
            <w:gridSpan w:val="11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p-value = max(1 - Phi(Z1), Phi(Z2)) per Lo et al.; values below alpha = 0.05 support equivalence.</w:t>
            </w:r>
          </w:p>
        </w:tc>
      </w:tr>
    </w:tbl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2026-08-05T09:49:10Z</dcterms:modified>
  <cp:category/>
</cp:coreProperties>
</file>