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Disparate Impact (DI)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2"/>
        <w:gridCol w:w="1193"/>
        <w:gridCol w:w="1560"/>
        <w:gridCol w:w="1157"/>
        <w:gridCol w:w="961"/>
        <w:gridCol w:w="1756"/>
        <w:gridCol w:w="1279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Disparate Impact (DI) – Grades 1–4 vs Grades 5+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80% rule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88.22%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85.13%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[0.921, 0.998]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DI = SR_min / SR_max, using positive outcome = mentor_percentile ≤ threshold (Top-p).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'80% rule' shows whether DI ≥ 0.80 (UGESP).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95% CI via bootstrap on the two selection rates.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2026-08-05T21:18:51Z</dcterms:modified>
  <cp:category/>
</cp:coreProperties>
</file>