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Diagnostics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16"/>
        <w:gridCol w:w="2722"/>
        <w:gridCol w:w="2428"/>
        <w:gridCol w:w="1903"/>
        <w:gridCol w:w="1891"/>
        <w:gridCol w:w="2269"/>
        <w:gridCol w:w="2552"/>
        <w:gridCol w:w="1963"/>
        <w:gridCol w:w="1927"/>
        <w:gridCol w:w="1976"/>
        <w:gridCol w:w="2086"/>
        <w:gridCol w:w="2122"/>
        <w:gridCol w:w="1854"/>
        <w:gridCol w:w="1964"/>
        <w:gridCol w:w="2000"/>
        <w:gridCol w:w="2624"/>
        <w:gridCol w:w="2710"/>
      </w:tblGrid>
      <w:tr>
        <w:trPr>
          <w:trHeight w:val="638" w:hRule="auto"/>
          <w:tblHeader/>
        </w:trPr>
        <w:tc>
          <w:tcPr>
            <w:gridSpan w:val="17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Combined Diagnostics: Cumulative Gains + Brown–Forsythe + KS FOSD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Cosine_cumgain_top20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MW_cumgain_top20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BF_F_between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BF_p_between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KS_D_cos_greater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KS_p_cos_greater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KS_D_mw_less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KS_p_mw_less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FOSD_obs_sup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FOSD_sup_CI_L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FOSD_sup_CI_U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FOSD_obs_inf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FOSD_inf_CI_L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FOSD_inf_CI_U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MW_Dominance_Prob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COS_Dominance_Prob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0.8849408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0.856176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1.784859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0.1818114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0.1878173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0.0000000008829825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0.003384095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0.9932547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0.003384095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0.02707276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-0.1742809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-0.2216582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-0.1285956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0.1549</w:t>
            </w:r>
          </w:p>
        </w:tc>
      </w:tr>
      <w:tr>
        <w:trPr>
          <w:trHeight w:val="360" w:hRule="auto"/>
        </w:trPr>
        <w:tc>
          <w:tcPr>
            <w:gridSpan w:val="1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 test: one-sided tests for first-order stochastic dominance; lower percentiles are better.</w:t>
            </w:r>
          </w:p>
        </w:tc>
      </w:tr>
    </w:tbl>
    <w:sectPr>
      <w:pgMar w:header="720" w:bottom="1440" w:top="1440" w:right="1440" w:left="1440" w:footer="720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2026-08-05T21:20:56Z</dcterms:modified>
  <cp:category/>
</cp:coreProperties>
</file>