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2049"/>
        <w:gridCol w:w="1451"/>
        <w:gridCol w:w="1451"/>
        <w:gridCol w:w="1573"/>
        <w:gridCol w:w="1451"/>
        <w:gridCol w:w="1451"/>
        <w:gridCol w:w="1548"/>
      </w:tblGrid>
      <w:tr>
        <w:trPr>
          <w:trHeight w:val="638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A: Rank Distribution Summaries by Year and Method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pct_rank1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pct_45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0.2436548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0.1878173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0.08629442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0.8477157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9.668842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2.721088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0.1522843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0.1421320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0.13705584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0.8274112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11.332957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5.185185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0.2613240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0.1707317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0.11846690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0.8954704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7.966138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1.444043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0.1742160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0.1428571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0.10452962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0.8675958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8.503460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2.464789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0.3084112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0.3364486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0.10280374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0.8785047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9.482087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2.083333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0.2336449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0.1962617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0.15887850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0.8130841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12.455068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5.769231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Rank bins based on GS stable matching output; top-20% defined as mentor_percentile ≤ 20.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2026-08-05T21:20:13Z</dcterms:modified>
  <cp:category/>
</cp:coreProperties>
</file>