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Cohort and balance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99"/>
        <w:gridCol w:w="1915"/>
        <w:gridCol w:w="3199"/>
        <w:gridCol w:w="2685"/>
        <w:gridCol w:w="3175"/>
        <w:gridCol w:w="1071"/>
      </w:tblGrid>
      <w:tr>
        <w:trPr>
          <w:trHeight w:val="638" w:hRule="auto"/>
          <w:tblHeader/>
        </w:trPr>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Cohort Size and Mentor Balance by Year (u = 0.90)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n_mentees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n_mentor_slots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n_unique_mentors_matched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mentor_capacity_proxy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n_mentors_with_2_mentees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214</w:t>
            </w:r>
          </w:p>
        </w:tc>
      </w:tr>
    </w:tbl>
    <w:p>
      <w:pPr>
        <w:pStyle w:val="Titre2"/>
      </w:pPr>
      <w:r>
        <w:t xml:space="preserve">Grade representation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08"/>
        <w:gridCol w:w="1817"/>
        <w:gridCol w:w="2099"/>
        <w:gridCol w:w="1071"/>
        <w:gridCol w:w="1989"/>
        <w:gridCol w:w="2270"/>
      </w:tblGrid>
      <w:tr>
        <w:trPr>
          <w:trHeight w:val="638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 Representation Across the Three Program Years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n_grades_1_4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n_grades_5_plus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pct_grades_1_4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pct_grades_5_plus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29.4</w:t>
            </w:r>
          </w:p>
        </w:tc>
      </w:tr>
    </w:tbl>
    <w:p>
      <w:pPr>
        <w:pStyle w:val="Titre2"/>
      </w:pPr>
      <w:r>
        <w:t xml:space="preserve">Compatibility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49"/>
        <w:gridCol w:w="778"/>
        <w:gridCol w:w="2037"/>
        <w:gridCol w:w="2208"/>
        <w:gridCol w:w="1878"/>
      </w:tblGrid>
      <w:tr>
        <w:trPr>
          <w:trHeight w:val="638" w:hRule="auto"/>
          <w:tblHeader/>
        </w:trPr>
        <w:tc>
          <w:tcPr>
            <w:gridSpan w:val="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Compatibility Summary for Final Matches (u = 0.90)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median_percentile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top20_rate_pct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85.6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Top-20% success is defined as mentor_percentile &lt;= 20.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Lower percentile values indicate better predicted compatibility.</w:t>
            </w:r>
          </w:p>
        </w:tc>
      </w:tr>
    </w:tbl>
    <w:p>
      <w:pPr>
        <w:pStyle w:val="Titre2"/>
      </w:pPr>
      <w:r>
        <w:t xml:space="preserve">Method diagnostics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8714"/>
      </w:tblGrid>
      <w:tr>
        <w:trPr>
          <w:trHeight w:val="638" w:hRule="auto"/>
          <w:tblHeader/>
        </w:trPr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 Comparison Diagnostics: Cosine Similarity vs Matching Words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Brown-Forsythe 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Brown-Forsythe 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D (Cosine greater)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p (Cosine greater)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D (Matching Words less)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p (Matching Words less)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sup gap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sup CI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sup CI 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inf gap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inf CI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inf CI 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dominance prob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 dominance prob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Equivalence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 saved diagnostics are one-sided KS and bootstrap FOSD summaries; they do not establish formal equivalence by themselves.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If equivalence is required in the manuscript, the 90% CI containment gate in the u-sweep tables is the intended criterion.</w:t>
            </w:r>
          </w:p>
        </w:tc>
      </w:tr>
    </w:tbl>
    <w:p>
      <w:pPr>
        <w:pStyle w:val="Titre2"/>
      </w:pPr>
      <w:r>
        <w:t xml:space="preserve">Score logic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95"/>
        <w:gridCol w:w="12578"/>
      </w:tblGrid>
      <w:tr>
        <w:trPr>
          <w:trHeight w:val="638" w:hRule="auto"/>
          <w:tblHeader/>
        </w:trPr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Algorithmic Parameters and Score Logic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item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logic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Final compatibility score used to choose u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total_score = abs(1 - DI) + abs(mean_gap) + 0.5 * abs(SMD) + 0.1 * abs(DI_U - DI_L)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 compatibility percentile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mentor_percentile = 100 * ((GS_mentee_rank_of_mentor - 1) / (max_rank - 1)); 0 = best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 match threshold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mentor_percentile &lt;= 20 (Top-20%)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Capacity proxy used in balance table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n_mentor_slots = max(max_rank) in the matched frame; duplicate-slot proxy = n_mentor_slots - n_unique_mentors_matched</w:t>
            </w:r>
          </w:p>
        </w:tc>
      </w:tr>
    </w:tbl>
    <w:p>
      <w:pPr>
        <w:pStyle w:val="Titre2"/>
      </w:pPr>
      <w:r>
        <w:t xml:space="preserve">Method TOST equivalence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08"/>
        <w:gridCol w:w="1340"/>
        <w:gridCol w:w="1683"/>
        <w:gridCol w:w="1046"/>
        <w:gridCol w:w="1389"/>
        <w:gridCol w:w="3064"/>
        <w:gridCol w:w="1536"/>
        <w:gridCol w:w="1572"/>
        <w:gridCol w:w="1181"/>
        <w:gridCol w:w="2783"/>
        <w:gridCol w:w="2514"/>
      </w:tblGrid>
      <w:tr>
        <w:trPr>
          <w:trHeight w:val="638" w:hRule="auto"/>
          <w:tblHeader/>
        </w:trPr>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Formal TOST Equivalence: Cosine Similarity vs Matching Words (Top-20%; u = 0.90)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(Cosine)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Rate (Cosine)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(MW)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Rate (MW)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Δ Rate (Cos−MW)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90% CI 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90% CI 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Equiv ±5pp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Equiv ±2pp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TOST follows Lo, Datta &amp; Salami (2025), AI and Ethics 5:2149-2164, Section 3.2 (Statistical Parity framework).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 outcome: mentor_percentile &lt;= Top-p% threshold. Rate = proportion of mentees receiving a top-p% match.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Delta Rate = Rate(Cosine) - Rate(Matching Words). Equivalence margin: primary +/-5pp, strict +/-2pp.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90% CI = (1 - 2*alpha)*100% confidence interval at alpha = 0.05; equivalence is concluded when the entire CI lies within the acceptance band.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 = max(1 - Phi(Z1), Phi(Z2)) per Lo et al.; values below alpha = 0.05 support equivalence.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2026-08-05T21:21:06Z</dcterms:modified>
  <cp:category/>
</cp:coreProperties>
</file>