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Grade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65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Mentee Count by Year and Grade Level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row per mentee per year; grade_stratum is the individual grade from the survey.</w:t>
            </w:r>
          </w:p>
        </w:tc>
      </w:tr>
    </w:tbl>
    <w:p>
      <w:pPr>
        <w:pStyle w:val="Titre2"/>
      </w:pPr>
      <w:r>
        <w:t xml:space="preserve">Selection Rates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58"/>
        <w:gridCol w:w="2049"/>
        <w:gridCol w:w="778"/>
        <w:gridCol w:w="1401"/>
        <w:gridCol w:w="2196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Preference Fulfillment Rates by Year, Grade Group, and Method (Top-20%; 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selection_rate_pct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83.78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 = mentor_percentile &lt;= 20 (mentor in top-20% predicted compatibility).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selection_rate_pct = percentage of mentees receiving that positive outcome.</w:t>
            </w:r>
          </w:p>
        </w:tc>
      </w:tr>
    </w:tbl>
    <w:p>
      <w:pPr>
        <w:pStyle w:val="Titre2"/>
      </w:pPr>
      <w:r>
        <w:t xml:space="preserve">Mean Percentile by Grade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2049"/>
        <w:gridCol w:w="655"/>
        <w:gridCol w:w="2037"/>
        <w:gridCol w:w="2208"/>
        <w:gridCol w:w="1377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Mentor Compatibility Percentile by Year, Grade Level, and Method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mentor_percentile: rank-derived score where 0 = highest compatibility, 100 = lowest.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pct_top20 = % of mentees matched with a mentor in the top-20% predicted compatibility.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mean_percentile and higher pct_top20 both indicate better matching outcomes.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2026-08-05T21:21:01Z</dcterms:modified>
  <cp:category/>
</cp:coreProperties>
</file>