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Mentor Balance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61"/>
        <w:gridCol w:w="1499"/>
        <w:gridCol w:w="1915"/>
        <w:gridCol w:w="3199"/>
        <w:gridCol w:w="3175"/>
      </w:tblGrid>
      <w:tr>
        <w:trPr>
          <w:trHeight w:val="638" w:hRule="auto"/>
          <w:tblHeader/>
        </w:trPr>
        <w:tc>
          <w:tcPr>
            <w:gridSpan w:val="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Mentor:Mentee Balance by Year (u = 0.90)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year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n_mentees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n_mentor_slots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n_unique_mentors_matched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2,025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n_mentor_slots: total mentor entries given to Gale-Shapley, including virtual duplicate slots.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n_mentors_with_2_mentees: mentors in the final matching who received two mentee assignments.</w:t>
            </w:r>
          </w:p>
        </w:tc>
      </w:tr>
    </w:tbl>
    <w:sectPr>
      <w:pgMar w:header="720" w:bottom="1440" w:top="1440" w:right="1440" w:left="1440" w:footer="720" w:gutter="0"/>
      <w:pgSz w:h="15840" w:w="12240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2026-08-05T21:21:02Z</dcterms:modified>
  <cp:category/>
</cp:coreProperties>
</file>