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Disparate Impact (DI)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93"/>
        <w:gridCol w:w="1560"/>
        <w:gridCol w:w="1157"/>
        <w:gridCol w:w="961"/>
        <w:gridCol w:w="1756"/>
        <w:gridCol w:w="1279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Disparate Impact (DI) – Grades 1–4 vs Grades 5+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80% rule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88.22%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85.13%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[0.921, 0.998]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DI = SR_min / SR_max, using positive outcome = mentor_percentile ≤ threshold (Top-p).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'80% rule' shows whether DI ≥ 0.80 (UGESP).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95% CI via bootstrap on the two selection rates.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2026-08-16T16:06:51Z</dcterms:modified>
  <cp:category/>
</cp:coreProperties>
</file>