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Distributional Fairness (Core)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58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Distributional Fairness (ECDF-Gap Dominance Diagnostics)</w:t>
            </w:r>
          </w:p>
        </w:tc>
      </w:tr>
      <w:tr>
        <w:trPr>
          <w:trHeight w:val="25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inf_CI_U</w:t>
            </w:r>
          </w:p>
        </w:tc>
      </w:tr>
      <w:tr>
        <w:trPr>
          <w:trHeight w:val="24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-1.999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-0.003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</w:tr>
    </w:tbl>
    <w:p>
      <w:pPr>
        <w:pStyle w:val="Titre2"/>
      </w:pPr>
      <w:r>
        <w:t xml:space="preserve">Table: Distributional Fairness (CIs)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Distributional Fairness (Gap CIs and Dominance Probabilities)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gap_U95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high_dom_prob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low_dom_prob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-3.938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-0.247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mean_gap = mean(mentor_percentile in Grades 5+) − mean(mentor_percentile in Grades 1–4). Positive = higher (worse) percentiles for Grades 5+.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mean_gap_L/U and mean_gap_L90/U90 = 95% and 90% bootstrap CIs for mean_gap (equivalence often judged at 90%).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SMD = standardized mean difference (pooled SD). |SMD| ≤ 0.20–0.30 is typically small.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FOSD_obs_sup/inf = observed sup/inf of ECDF_high − ECDF_low over the percentile grid.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FOSD_sup/inf_CI_L/U = 90% bootstrap CIs for the ECDF gap, reported as distributional diagnostics. If sup_CI_U ≤ 0, Grades 5+ never worse; if inf_CI_L ≥ 0, Grades 5+ never better (interpret with context).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2026-08-16T16:06:52Z</dcterms:modified>
  <cp:category/>
</cp:coreProperties>
</file>