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Mentor Balance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61"/>
        <w:gridCol w:w="1499"/>
        <w:gridCol w:w="1915"/>
        <w:gridCol w:w="3199"/>
        <w:gridCol w:w="3175"/>
      </w:tblGrid>
      <w:tr>
        <w:trPr>
          <w:trHeight w:val="638" w:hRule="auto"/>
          <w:tblHeader/>
        </w:trPr>
        <w:tc>
          <w:tcPr>
            <w:gridSpan w:val="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Mentor:Mentee Balance by Year (u = 1.50)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n_mentees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n_mentor_slots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n_unique_mentors_matched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n_mentors_with_2_mentees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n_mentor_slots: total mentor entries given to Gale-Shapley, including virtual duplicate slots.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n_mentors_with_2_mentees: mentors in the final matching who received two mentee assignments.</w:t>
            </w:r>
          </w:p>
        </w:tc>
      </w:tr>
    </w:tbl>
    <w:sectPr>
      <w:pgMar w:header="720" w:bottom="1440" w:top="1440" w:right="1440" w:left="1440" w:footer="720" w:gutter="0"/>
      <w:pgSz w:h="15840" w:w="12240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2026-08-16T16:08:33Z</dcterms:modified>
  <cp:category/>
</cp:coreProperties>
</file>