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Table: Disparate Impact (DI)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72"/>
        <w:gridCol w:w="1193"/>
        <w:gridCol w:w="1560"/>
        <w:gridCol w:w="1157"/>
        <w:gridCol w:w="961"/>
        <w:gridCol w:w="1756"/>
        <w:gridCol w:w="1279"/>
      </w:tblGrid>
      <w:tr>
        <w:trPr>
          <w:trHeight w:val="638" w:hRule="auto"/>
          <w:tblHeader/>
        </w:trPr>
        <w:tc>
          <w:tcPr>
            <w:gridSpan w:val="7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Disparate Impact (DI) – Grades 1–4 vs Grades 5+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SR max grp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SR max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SR min grp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SR min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 95% 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80% rule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Grades 5+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88.22%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Grades 1–4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85.13%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[0.921, 0.998]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Notes: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DI = SR_min / SR_max, using positive outcome = mentor_percentile ≤ threshold (Top-p).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'80% rule' shows whether DI ≥ 0.80 (UGESP).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 95% CI via bootstrap on the two selection rates.</w:t>
            </w:r>
          </w:p>
        </w:tc>
      </w:tr>
    </w:tbl>
    <w:sectPr>
      <w:pgMar w:header="720" w:bottom="1440" w:top="1440" w:right="1440" w:left="1440" w:footer="720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2026-08-08T11:26:06Z</dcterms:modified>
  <cp:category/>
</cp:coreProperties>
</file>