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Distributional Fairness (Core)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258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Distributional Fairness (ECDF-Gap Dominance Diagnostics)</w:t>
            </w:r>
          </w:p>
        </w:tc>
      </w:tr>
      <w:tr>
        <w:trPr>
          <w:trHeight w:val="25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mean_gap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sup_obs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sup_CI_L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sup_CI_U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inf_obs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inf_CI_L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inf_CI_U</w:t>
            </w:r>
          </w:p>
        </w:tc>
      </w:tr>
      <w:tr>
        <w:trPr>
          <w:trHeight w:val="24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Table: Distributional Fairness (CIs)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Distributional Fairness (Gap CIs and Dominance Probabilities)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gap_L95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gap_U95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gap_L90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gap_U90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high_dom_prob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low_dom_prob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mean_gap = mean(mentor_percentile in Grades 5+) − mean(mentor_percentile in Grades 1–4). Positive = higher (worse) percentiles for Grades 5+.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mean_gap_L/U and mean_gap_L90/U90 = 95% and 90% bootstrap CIs for mean_gap (equivalence often judged at 90%).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SMD = standardized mean difference (pooled SD). |SMD| ≤ 0.20–0.30 is typically small.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FOSD_obs_sup/inf = observed sup/inf of ECDF_high − ECDF_low over the percentile grid.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FOSD_sup/inf_CI_L/U = 90% bootstrap CIs for the ECDF gap, reported as distributional diagnostics. If sup_CI_U ≤ 0, Grades 5+ never worse; if inf_CI_L ≥ 0, Grades 5+ never better (interpret with context).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2026-08-08T11:26:08Z</dcterms:modified>
  <cp:category/>
</cp:coreProperties>
</file>