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Proposed u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  <w:gridCol w:w="985"/>
        <w:gridCol w:w="1451"/>
        <w:gridCol w:w="1071"/>
        <w:gridCol w:w="1451"/>
        <w:gridCol w:w="1451"/>
        <w:gridCol w:w="1451"/>
        <w:gridCol w:w="1451"/>
        <w:gridCol w:w="1451"/>
        <w:gridCol w:w="1451"/>
        <w:gridCol w:w="1451"/>
        <w:gridCol w:w="1829"/>
        <w:gridCol w:w="1915"/>
        <w:gridCol w:w="1524"/>
        <w:gridCol w:w="1695"/>
        <w:gridCol w:w="1732"/>
        <w:gridCol w:w="1940"/>
        <w:gridCol w:w="1976"/>
        <w:gridCol w:w="1646"/>
        <w:gridCol w:w="1976"/>
        <w:gridCol w:w="2086"/>
        <w:gridCol w:w="2122"/>
        <w:gridCol w:w="1854"/>
        <w:gridCol w:w="1964"/>
        <w:gridCol w:w="2000"/>
        <w:gridCol w:w="2563"/>
        <w:gridCol w:w="2649"/>
        <w:gridCol w:w="1218"/>
        <w:gridCol w:w="1365"/>
        <w:gridCol w:w="1487"/>
        <w:gridCol w:w="1609"/>
        <w:gridCol w:w="2258"/>
        <w:gridCol w:w="2258"/>
        <w:gridCol w:w="1218"/>
        <w:gridCol w:w="8958"/>
      </w:tblGrid>
      <w:tr>
        <w:trPr>
          <w:trHeight w:val="638" w:hRule="auto"/>
          <w:tblHeader/>
        </w:trPr>
        <w:tc>
          <w:tcPr>
            <w:gridSpan w:val="3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Proposed u based on fairness criteria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fisher_p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mean_pct_low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mean_pct_high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MW_dominance_prob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COS_dominance_prob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pass_SMD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pass_FOSD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fosd_pass_delta10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fosd_pass_delta05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decision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0.8417266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0.8505747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0.7257063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0.9895975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0.9368299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0.9991355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0.9449852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0.9981188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10.49843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9.633565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-0.8648634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-3.037868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1.51153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-2.677584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1.104561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-0.04752151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0.07814438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0.04589018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0.1394009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-0.01066733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-0.04649591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-0.003349045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Selected as Proposed u (meets DI, gap, and SMD gates; FOSD reported diagnostically)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2026-08-08T11:28:03Z</dcterms:modified>
  <cp:category/>
</cp:coreProperties>
</file>