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2049"/>
        <w:gridCol w:w="1451"/>
        <w:gridCol w:w="1451"/>
        <w:gridCol w:w="1573"/>
        <w:gridCol w:w="1451"/>
        <w:gridCol w:w="1451"/>
        <w:gridCol w:w="1548"/>
      </w:tblGrid>
      <w:tr>
        <w:trPr>
          <w:trHeight w:val="63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A: Rank Distribution Summaries by Year and Method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pct_rank1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0.2436548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0.1878173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0.08629442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9.668842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2.721088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0.1522843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0.1421320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0.13705584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11.332957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5.185185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0.2613240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0.1707317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0.11846690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7.966138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1.444043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0.1742160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0.1428571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0.10452962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0.8675958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8.503460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2.464789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0.3364486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0.10280374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9.482087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2.083333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0.2336449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0.1962617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0.15887850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0.8130841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12.455068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5.769231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Rank bins based on GS stable matching output; top-20% defined as mentor_percentile ≤ 20.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2026-08-08T11:27:59Z</dcterms:modified>
  <cp:category/>
</cp:coreProperties>
</file>