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Disparate Impact (DI)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93"/>
        <w:gridCol w:w="1560"/>
        <w:gridCol w:w="1157"/>
        <w:gridCol w:w="961"/>
        <w:gridCol w:w="1756"/>
        <w:gridCol w:w="1279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Disparate Impact (DI) – Grades 1–4 vs Grades 5+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 grp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 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80% rule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85.19%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84.11%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[0.935, 0.999]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DI = SR_min / SR_max, using positive outcome = mentor_percentile ≤ threshold (Top-p).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'80% rule' shows whether DI ≥ 0.80 (UGESP).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95% CI via bootstrap on the two selection rates.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2026-08-18T00:04:53Z</dcterms:modified>
  <cp:category/>
</cp:coreProperties>
</file>