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Diagnostics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2722"/>
        <w:gridCol w:w="2428"/>
        <w:gridCol w:w="1903"/>
        <w:gridCol w:w="1891"/>
        <w:gridCol w:w="2269"/>
        <w:gridCol w:w="2233"/>
        <w:gridCol w:w="1963"/>
        <w:gridCol w:w="1927"/>
        <w:gridCol w:w="1976"/>
        <w:gridCol w:w="2086"/>
        <w:gridCol w:w="2122"/>
        <w:gridCol w:w="1854"/>
        <w:gridCol w:w="1964"/>
        <w:gridCol w:w="2000"/>
        <w:gridCol w:w="2624"/>
        <w:gridCol w:w="2710"/>
      </w:tblGrid>
      <w:tr>
        <w:trPr>
          <w:trHeight w:val="638" w:hRule="auto"/>
          <w:tblHeader/>
        </w:trPr>
        <w:tc>
          <w:tcPr>
            <w:gridSpan w:val="1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Combined Diagnostics: Cumulative Gains + Brown–Forsythe + KS FOSD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Cosine_cumgain_top20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MW_cumgain_top20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BF_F_between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BF_p_between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KS_D_cos_greater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KS_p_cos_greater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KS_D_mw_less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KS_p_mw_less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0.8506375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0.8378871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0.09017697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0.7640092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0.1220401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0.0002811324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0.01639344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0.8628271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0.01639344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0.003642987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0.04189435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-0.1020036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-0.1584699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-0.07103825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360" w:hRule="auto"/>
        </w:trPr>
        <w:tc>
          <w:tcPr>
            <w:gridSpan w:val="1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test: one-sided tests for first-order stochastic dominance; lower percentiles are better.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2026-08-18T00:06:39Z</dcterms:modified>
  <cp:category/>
</cp:coreProperties>
</file>