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Cohort and balance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99"/>
        <w:gridCol w:w="1915"/>
        <w:gridCol w:w="3199"/>
        <w:gridCol w:w="2685"/>
        <w:gridCol w:w="3175"/>
        <w:gridCol w:w="1071"/>
      </w:tblGrid>
      <w:tr>
        <w:trPr>
          <w:trHeight w:val="638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Cohort Size and Mentor Balance by Year (u = 1.50)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n_mentees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n_mentor_slots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n_unique_mentors_matched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mentor_capacity_proxy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n_mentors_with_2_mentees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</w:tr>
    </w:tbl>
    <w:p>
      <w:pPr>
        <w:pStyle w:val="Titre2"/>
      </w:pPr>
      <w:r>
        <w:t xml:space="preserve">Grade representation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08"/>
        <w:gridCol w:w="1817"/>
        <w:gridCol w:w="2099"/>
        <w:gridCol w:w="1071"/>
        <w:gridCol w:w="1989"/>
        <w:gridCol w:w="2270"/>
      </w:tblGrid>
      <w:tr>
        <w:trPr>
          <w:trHeight w:val="638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 Representation Across the Three Program Years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n_grades_1_4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n_grades_5_plus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pct_grades_1_4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pct_grades_5_plus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</w:t>
            </w:r>
          </w:p>
        </w:tc>
      </w:tr>
    </w:tbl>
    <w:p>
      <w:pPr>
        <w:pStyle w:val="Titre2"/>
      </w:pPr>
      <w:r>
        <w:t xml:space="preserve">Compatibility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9"/>
        <w:gridCol w:w="778"/>
        <w:gridCol w:w="2037"/>
        <w:gridCol w:w="2208"/>
        <w:gridCol w:w="1878"/>
      </w:tblGrid>
      <w:tr>
        <w:trPr>
          <w:trHeight w:val="638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Compatibility Summary for Final Matches (u = 1.50)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median_percentile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top20_rate_pct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Similarity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Top-20% success is defined as mentor_percentile &lt;= 20.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percentile values indicate better predicted compatibility.</w:t>
            </w:r>
          </w:p>
        </w:tc>
      </w:tr>
    </w:tbl>
    <w:p>
      <w:pPr>
        <w:pStyle w:val="Titre2"/>
      </w:pPr>
      <w:r>
        <w:t xml:space="preserve">Method diagnostics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8849"/>
      </w:tblGrid>
      <w:tr>
        <w:trPr>
          <w:trHeight w:val="638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 Comparison Diagnostics: Cosine Similarity vs Matching Words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Brown-Forsythe 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Brown-Forsythe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 D (Cosine greater)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 p (Cosine greater)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 D (Matching Words less)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 p (Matching Words less)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 sup gap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 sup CI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 sup CI 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 inf gap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 inf CI 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Bootstrap inf CI 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Cosine dominance prob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Matching Words dominance prob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Equivalence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(delta = 5pp; 90% CI [-0.016, +0.041] vs acceptance [-0.05, 0.05]); strict 2pp: Fail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saved diagnostics are one-sided KS and bootstrap FOSD summaries; they do not establish formal equivalence by themselves.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If equivalence is required in the manuscript, the 90% CI containment gate in the u-sweep tables is the intended criterion.</w:t>
            </w:r>
          </w:p>
        </w:tc>
      </w:tr>
    </w:tbl>
    <w:p>
      <w:pPr>
        <w:pStyle w:val="Titre2"/>
      </w:pPr>
      <w:r>
        <w:t xml:space="preserve">Score logic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95"/>
        <w:gridCol w:w="12578"/>
      </w:tblGrid>
      <w:tr>
        <w:trPr>
          <w:trHeight w:val="638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Algorithmic Parameters and Score Logic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logic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 compatibility score used to choose u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total_score = abs(1 - DI) + abs(mean_gap) + 0.5 * abs(SMD) + 0.1 * abs(DI_U - DI_L)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 compatibility percentile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mentor_percentile = 100 * ((GS_mentee_rank_of_mentor - 1) / (max_rank - 1)); 0 = best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 match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mentor_percentile &lt;= 20 (Top-20%)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Capacity proxy used in balance table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n_mentor_slots = max(max_rank) in the matched frame; duplicate-slot proxy = n_mentor_slots - n_unique_mentors_matched</w:t>
            </w:r>
          </w:p>
        </w:tc>
      </w:tr>
    </w:tbl>
    <w:p>
      <w:pPr>
        <w:pStyle w:val="Titre2"/>
      </w:pPr>
      <w:r>
        <w:t xml:space="preserve">Method TOST equivalence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08"/>
        <w:gridCol w:w="1340"/>
        <w:gridCol w:w="1683"/>
        <w:gridCol w:w="1046"/>
        <w:gridCol w:w="1389"/>
        <w:gridCol w:w="3064"/>
        <w:gridCol w:w="1536"/>
        <w:gridCol w:w="1572"/>
        <w:gridCol w:w="1181"/>
        <w:gridCol w:w="2783"/>
        <w:gridCol w:w="2514"/>
        <w:gridCol w:w="2661"/>
        <w:gridCol w:w="2661"/>
      </w:tblGrid>
      <w:tr>
        <w:trPr>
          <w:trHeight w:val="638" w:hRule="auto"/>
          <w:tblHeader/>
        </w:trPr>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Formal TOST Equivalence: Cosine Similarity vs Matching Words (Top-20%; u = 1.50)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(Cosine)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Rate (Cosine)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(MW)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Rate (MW)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 Rate (Cos−MW)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90% CI 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90% CI 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Equiv ±5pp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Equiv ±2pp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n_discordant_cos_only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n_discordant_mw_only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  <w:t xml:space="preserve">Fail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  <w:t xml:space="preserve">Fail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66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66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  <w:t xml:space="preserve">Fail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  <w:t xml:space="preserve">Fail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  <w:t xml:space="preserve">Fail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66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6600"/>
              </w:rPr>
              <w:t xml:space="preserve">Pass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CC0000"/>
              </w:rPr>
              <w:t xml:space="preserve">Fail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TOST follows Lo, Datta &amp; Salami (2025), AI and Ethics 5:2149-2164, Section 3.2 (Statistical Parity framework).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 outcome: mentor_percentile &lt;= Top-p% threshold. Rate = proportion of mentees receiving a top-p% match.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 Rate = Rate(Cosine) - Rate(Matching Words). Equivalence margin: primary +/-5pp, strict +/-2pp.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 CI = (1 - 2*alpha)*100% confidence interval at alpha = 0.05; equivalence is concluded when the entire CI lies within the acceptance band.</w:t>
            </w:r>
          </w:p>
        </w:tc>
      </w:tr>
      <w:tr>
        <w:trPr>
          <w:trHeight w:val="360" w:hRule="auto"/>
        </w:trPr>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 = max(1 - Phi(Z1), Phi(Z2)) per Lo et al.; values below alpha = 0.05 support equivalence.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2026-08-18T00:06:49Z</dcterms:modified>
  <cp:category/>
</cp:coreProperties>
</file>