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Disparate Impact (DI)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72"/>
        <w:gridCol w:w="1193"/>
        <w:gridCol w:w="1560"/>
        <w:gridCol w:w="1157"/>
        <w:gridCol w:w="961"/>
        <w:gridCol w:w="1756"/>
        <w:gridCol w:w="1279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Disparate Impact (DI) – Grades 1–4 vs Grades 5+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max grp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min grp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 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80% rule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88.22%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85.13%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[0.921, 0.998]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Notes: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DI = SR_min / SR_max, using positive outcome = mentor_percentile ≤ threshold (Top-p).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'80% rule' shows whether DI ≥ 0.80 (UGESP).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95% CI via bootstrap on the two selection rates.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2026-08-07T05:57:47Z</dcterms:modified>
  <cp:category/>
</cp:coreProperties>
</file>