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2722"/>
        <w:gridCol w:w="2428"/>
        <w:gridCol w:w="1903"/>
        <w:gridCol w:w="1891"/>
        <w:gridCol w:w="2269"/>
        <w:gridCol w:w="2552"/>
        <w:gridCol w:w="1963"/>
        <w:gridCol w:w="1927"/>
        <w:gridCol w:w="1976"/>
        <w:gridCol w:w="2086"/>
        <w:gridCol w:w="2122"/>
        <w:gridCol w:w="1854"/>
        <w:gridCol w:w="1964"/>
        <w:gridCol w:w="2000"/>
        <w:gridCol w:w="2624"/>
        <w:gridCol w:w="2710"/>
      </w:tblGrid>
      <w:tr>
        <w:trPr>
          <w:trHeight w:val="638" w:hRule="auto"/>
          <w:tblHeader/>
        </w:trPr>
        <w:tc>
          <w:tcPr>
            <w:gridSpan w:val="1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Combined Diagnostics: Cumulative Gains + Brown–Forsythe + KS FOSD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BF_F_between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BF_p_between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0.8849408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0.856176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1.784859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0.1818114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0.1878173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0.0000000008829825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0.003384095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0.9932547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0.003384095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0.02707276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-0.1742809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-0.2216582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-0.1285956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0.1549</w:t>
            </w:r>
          </w:p>
        </w:tc>
      </w:tr>
      <w:tr>
        <w:trPr>
          <w:trHeight w:val="360" w:hRule="auto"/>
        </w:trPr>
        <w:tc>
          <w:tcPr>
            <w:gridSpan w:val="1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test: one-sided tests for first-order stochastic dominance; lower percentiles are better.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2026-08-07T05:59:18Z</dcterms:modified>
  <cp:category/>
</cp:coreProperties>
</file>