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Diagnostics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2722"/>
        <w:gridCol w:w="2428"/>
        <w:gridCol w:w="1903"/>
        <w:gridCol w:w="1891"/>
        <w:gridCol w:w="2269"/>
        <w:gridCol w:w="2233"/>
        <w:gridCol w:w="1963"/>
        <w:gridCol w:w="1927"/>
        <w:gridCol w:w="1976"/>
        <w:gridCol w:w="2086"/>
        <w:gridCol w:w="2122"/>
        <w:gridCol w:w="1854"/>
        <w:gridCol w:w="1964"/>
        <w:gridCol w:w="2000"/>
        <w:gridCol w:w="2624"/>
        <w:gridCol w:w="2710"/>
      </w:tblGrid>
      <w:tr>
        <w:trPr>
          <w:trHeight w:val="638" w:hRule="auto"/>
          <w:tblHeader/>
        </w:trPr>
        <w:tc>
          <w:tcPr>
            <w:gridSpan w:val="1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 Diagnostics: Cumulative Gains + Brown–Forsythe + KS FOSD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Cosine_cumgain_top20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MW_cumgain_top20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BF_F_between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BF_p_between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KS_D_cos_greater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KS_p_cos_greater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KS_D_mw_less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KS_p_mw_less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MW_Dominance_Prob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COS_Dominance_Prob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0.8764805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0.8443316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0.6077577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0.4357897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0.1522843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0.000001116196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0.005076142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0.9848869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0.005076142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0.03384095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-0.1269036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-0.179357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-0.09306261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0.1163</w:t>
            </w:r>
          </w:p>
        </w:tc>
      </w:tr>
      <w:tr>
        <w:trPr>
          <w:trHeight w:val="360" w:hRule="auto"/>
        </w:trPr>
        <w:tc>
          <w:tcPr>
            <w:gridSpan w:val="1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 test: one-sided tests for first-order stochastic dominance; lower percentiles are better.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2026-08-07T05:58:53Z</dcterms:modified>
  <cp:category/>
</cp:coreProperties>
</file>