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2049"/>
        <w:gridCol w:w="1451"/>
        <w:gridCol w:w="1451"/>
        <w:gridCol w:w="1573"/>
        <w:gridCol w:w="1451"/>
        <w:gridCol w:w="1451"/>
        <w:gridCol w:w="1548"/>
      </w:tblGrid>
      <w:tr>
        <w:trPr>
          <w:trHeight w:val="63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A: Rank Distribution Summaries by Year and Method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pct_rank1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0.2436548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0.1878173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0.08629442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9.668842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2.721088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0.1421320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0.13705584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11.332957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5.185185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0.2613240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0.1707317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0.11846690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7.966138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1.444043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0.1742160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0.10452962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0.8675958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8.503460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2.464789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0.3364486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0.10280374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9.482087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2.083333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0.2336449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0.1962617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0.15887850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0.8130841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12.455068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5.769231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Rank bins based on GS stable matching output; top-20% defined as mentor_percentile ≤ 20.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2026-08-07T05:58:44Z</dcterms:modified>
  <cp:category/>
</cp:coreProperties>
</file>