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Grade Counts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829"/>
        <w:gridCol w:w="655"/>
      </w:tblGrid>
      <w:tr>
        <w:trPr>
          <w:trHeight w:val="638" w:hRule="auto"/>
          <w:tblHeader/>
        </w:trPr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Mentee Count by Year and Grade Level (u = 0.90)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grade_stratum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row per mentee per year; grade_stratum is the individual grade from the survey.</w:t>
            </w:r>
          </w:p>
        </w:tc>
      </w:tr>
    </w:tbl>
    <w:p>
      <w:pPr>
        <w:pStyle w:val="Titre2"/>
      </w:pPr>
      <w:r>
        <w:t xml:space="preserve">Selection Rates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58"/>
        <w:gridCol w:w="2049"/>
        <w:gridCol w:w="778"/>
        <w:gridCol w:w="1401"/>
        <w:gridCol w:w="2196"/>
      </w:tblGrid>
      <w:tr>
        <w:trPr>
          <w:trHeight w:val="638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Preference Fulfillment Rates by Year, Grade Group, and Method (Top-20%; u = 0.90)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grade_group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selection_rate_pct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1–4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1–4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1–4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1–4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1–4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1–4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83.78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 outcome = mentor_percentile &lt;= 20 (mentor in top-20% predicted compatibility).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selection_rate_pct = percentage of mentees receiving that positive outcome.</w:t>
            </w:r>
          </w:p>
        </w:tc>
      </w:tr>
    </w:tbl>
    <w:p>
      <w:pPr>
        <w:pStyle w:val="Titre2"/>
      </w:pPr>
      <w:r>
        <w:t xml:space="preserve">Mean Percentile by Grade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829"/>
        <w:gridCol w:w="2049"/>
        <w:gridCol w:w="655"/>
        <w:gridCol w:w="2037"/>
        <w:gridCol w:w="2208"/>
        <w:gridCol w:w="1377"/>
      </w:tblGrid>
      <w:tr>
        <w:trPr>
          <w:trHeight w:val="638" w:hRule="auto"/>
          <w:tblHeader/>
        </w:trPr>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Mentor Compatibility Percentile by Year, Grade Level, and Method (u = 0.90)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grade_stratum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pct_top20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mentor_percentile: rank-derived score where 0 = highest compatibility, 100 = lowest.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pct_top20 = % of mentees matched with a mentor in the top-20% predicted compatibility.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mean_percentile and higher pct_top20 both indicate better matching outcomes.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2026-08-07T05:59:22Z</dcterms:modified>
  <cp:category/>
</cp:coreProperties>
</file>