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2"/>
      </w:pPr>
      <w:r>
        <w:t xml:space="preserve">Mentor Balance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961"/>
        <w:gridCol w:w="1499"/>
        <w:gridCol w:w="1915"/>
        <w:gridCol w:w="3199"/>
        <w:gridCol w:w="3175"/>
      </w:tblGrid>
      <w:tr>
        <w:trPr>
          <w:trHeight w:val="638" w:hRule="auto"/>
          <w:tblHeader/>
        </w:trPr>
        <w:tc>
          <w:tcPr>
            <w:gridSpan w:val="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Mentor:Mentee Balance by Year (u = 0.90)</w:t>
            </w:r>
          </w:p>
        </w:tc>
      </w:tr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year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n_mentees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n_mentor_slots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n_unique_mentors_matched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n_mentors_with_2_mentees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54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12" w:space="0" w:color="666666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n_mentor_slots: total mentor entries given to Gale-Shapley, including virtual duplicate slots.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n_mentors_with_2_mentees: mentors in the final matching who received two mentee assignments.</w:t>
            </w:r>
          </w:p>
        </w:tc>
      </w:tr>
    </w:tbl>
    <w:sectPr>
      <w:pgMar w:header="720" w:bottom="1440" w:top="1440" w:right="1440" w:left="1440" w:footer="720" w:gutter="0"/>
      <w:pgSz w:h="15840" w:w="12240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2026-08-07T05:59:22Z</dcterms:modified>
  <cp:category/>
</cp:coreProperties>
</file>