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jc w:val="center"/>
        <w:tblBorders>
          <w:top w:val="nil"/>
          <w:left w:val="nil"/>
          <w:bottom w:val="nil"/>
          <w:right w:val="nil"/>
          <w:insideH w:val="nil"/>
          <w:insideV w:val="nil"/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Layout w:type="fixed"/>
        <w:tblLook w:val="0600" w:firstRow="0" w:lastRow="0" w:firstColumn="0" w:lastColumn="0" w:noHBand="1" w:noVBand="1"/>
        <w:tblW w:w="14651" w:type="dxa"/>
      </w:tblPr>
      <w:tblGrid>
        <w:gridCol w:w="1417"/>
        <w:gridCol w:w="1814"/>
        <w:gridCol w:w="850"/>
        <w:gridCol w:w="5783"/>
        <w:gridCol w:w="1928"/>
        <w:gridCol w:w="2857"/>
      </w:tblGrid>
      <w:tr w:rsidR="00E5295B" w14:paraId="58DC933A" w14:textId="77777777" w:rsidTr="00E5295B">
        <w:trPr>
          <w:jc w:val="center"/>
          <w:cantSplit/>
        </w:trPr>
        <w:tc>
          <w:tcPr>
            <w:gridSpan w:val="4"/>
            <w:tcBorders>
              <w:top w:val="single" w:sz="8" w:space="0" w:color="980000"/>
              <w:left w:val="nil"/>
              <w:bottom w:val="single" w:sz="8" w:space="0" w:color="980000"/>
              <w:right w:val="nil"/>
            </w:tcBorders>
            <w:shd w:val="clear" w:color="auto" w:fill="980000"/>
            <w:tcMar>
              <w:top w:w="60" w:type="dxa"/>
              <w:left w:w="60" w:type="dxa"/>
              <w:bottom w:w="60" w:type="dxa"/>
              <w:right w:w="60" w:type="dxa"/>
              <w:top w:w="70" w:type="dxa"/>
              <w:left w:w="70" w:type="dxa"/>
              <w:bottom w:w="70" w:type="dxa"/>
              <w:right w:w="70" w:type="dxa"/>
              <w:top w:w="70" w:type="dxa"/>
              <w:left w:w="70" w:type="dxa"/>
              <w:bottom w:w="70" w:type="dxa"/>
              <w:right w:w="70" w:type="dxa"/>
              <w:top w:w="70" w:type="dxa"/>
              <w:left w:w="70" w:type="dxa"/>
              <w:bottom w:w="70" w:type="dxa"/>
              <w:right w:w="70" w:type="dxa"/>
              <w:top w:w="70" w:type="dxa"/>
              <w:left w:w="70" w:type="dxa"/>
              <w:bottom w:w="70" w:type="dxa"/>
              <w:right w:w="70" w:type="dxa"/>
            </w:tcMar>
            <w:vAlign w:val="center"/>
            <w:tcW w:w="5783" w:type="dxa"/>
          </w:tcPr>
          <w:p w14:paraId="05852E29" w14:textId="77777777" w:rsidR="00E5295B" w:rsidRDefault="00E5295B" w:rsidP="0070547D">
            <w:pPr>
              <w:keepNext w:val="0"/>
              <w:widowControl/>
              <w:spacing w:line="240" w:lineRule="auto" w:after="60" w:before="0"/>
              <w:ind w:left="60"/>
              <w:rPr>
                <w:rFonts w:ascii="Times New Roman" w:eastAsia="Times New Roman" w:hAnsi="Times New Roman" w:cs="Times New Roman"/>
                <w:b/>
                <w:color w:val="FFFFFF"/>
              </w:rPr>
            </w:pPr>
            <w:r>
              <w:rPr>
                <w:rFonts w:ascii="Arial" w:eastAsia="Times New Roman" w:hAnsi="Arial" w:cs="Times New Roman"/>
                <w:b/>
                <w:color w:val="FFFFFF"/>
                <w:sz w:val="17"/>
              </w:rPr>
              <w:t>CONTROL DE VERSIONES</w:t>
            </w:r>
          </w:p>
        </w:tc>
        <w:tc>
          <w:tcPr>
            <w:tcBorders>
              <w:top w:val="nil"/>
              <w:left w:val="nil"/>
              <w:bottom w:val="single" w:sz="8" w:space="0" w:color="980000"/>
              <w:right w:val="nil"/>
            </w:tcBorders>
            <w:shd w:val="clear" w:color="auto" w:fill="980000"/>
            <w:tcMar>
              <w:top w:w="100" w:type="dxa"/>
              <w:left w:w="100" w:type="dxa"/>
              <w:bottom w:w="100" w:type="dxa"/>
              <w:right w:w="100" w:type="dxa"/>
              <w:top w:w="70" w:type="dxa"/>
              <w:left w:w="70" w:type="dxa"/>
              <w:bottom w:w="70" w:type="dxa"/>
              <w:right w:w="70" w:type="dxa"/>
            </w:tcMar>
            <w:vAlign w:val="center"/>
            <w:tcW w:w="1928" w:type="dxa"/>
          </w:tcPr>
          <w:p w14:paraId="61488DD8" w14:textId="77777777" w:rsidR="00E5295B" w:rsidRDefault="00E5295B" w:rsidP="0070547D">
            <w:pPr>
              <w:keepNext w:val="0"/>
              <w:widowControl/>
              <w:spacing w:line="240" w:lineRule="auto" w:after="60" w:before="0"/>
              <w:ind w:lef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nil"/>
              <w:left w:val="nil"/>
              <w:bottom w:val="single" w:sz="8" w:space="0" w:color="980000"/>
              <w:right w:val="nil"/>
            </w:tcBorders>
            <w:shd w:val="clear" w:color="auto" w:fill="980000"/>
            <w:tcMar>
              <w:top w:w="100" w:type="dxa"/>
              <w:left w:w="100" w:type="dxa"/>
              <w:bottom w:w="100" w:type="dxa"/>
              <w:right w:w="100" w:type="dxa"/>
              <w:top w:w="70" w:type="dxa"/>
              <w:left w:w="70" w:type="dxa"/>
              <w:bottom w:w="70" w:type="dxa"/>
              <w:right w:w="70" w:type="dxa"/>
            </w:tcMar>
            <w:vAlign w:val="center"/>
            <w:tcW w:w="2858" w:type="dxa"/>
          </w:tcPr>
          <w:p w14:paraId="37768517" w14:textId="77777777" w:rsidR="00E5295B" w:rsidRDefault="00E5295B" w:rsidP="0070547D">
            <w:pPr>
              <w:keepNext w:val="0"/>
              <w:widowControl/>
              <w:spacing w:line="240" w:lineRule="auto" w:after="60" w:before="0"/>
              <w:ind w:lef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5295B" w14:paraId="57B8B9AD" w14:textId="77777777" w:rsidTr="00E5295B">
        <w:trPr>
          <w:jc w:val="center"/>
          <w:cantSplit/>
        </w:trPr>
        <w:tc>
          <w:tcPr>
            <w:tcBorders>
              <w:top w:val="single" w:sz="8" w:space="0" w:color="980000"/>
              <w:left w:val="nil"/>
              <w:bottom w:val="single" w:sz="8" w:space="0" w:color="000000"/>
              <w:right w:val="nil"/>
            </w:tcBorders>
            <w:shd w:val="clear" w:color="auto" w:fill="404040"/>
            <w:tcMar>
              <w:top w:w="60" w:type="dxa"/>
              <w:left w:w="60" w:type="dxa"/>
              <w:bottom w:w="60" w:type="dxa"/>
              <w:right w:w="60" w:type="dxa"/>
              <w:top w:w="70" w:type="dxa"/>
              <w:left w:w="70" w:type="dxa"/>
              <w:bottom w:w="70" w:type="dxa"/>
              <w:right w:w="70" w:type="dxa"/>
            </w:tcMar>
            <w:vAlign w:val="center"/>
            <w:tcW w:w="1418" w:type="dxa"/>
          </w:tcPr>
          <w:p w14:paraId="21090A0A" w14:textId="77777777" w:rsidR="00E5295B" w:rsidRDefault="00E5295B" w:rsidP="0070547D">
            <w:pPr>
              <w:keepNext w:val="0"/>
              <w:widowControl/>
              <w:spacing w:line="240" w:lineRule="auto" w:after="60" w:before="0"/>
              <w:ind w:left="60"/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  <w:r>
              <w:rPr>
                <w:rFonts w:ascii="Arial" w:eastAsia="Times New Roman" w:hAnsi="Arial" w:cs="Times New Roman"/>
                <w:b/>
                <w:color w:val="FFFFFF"/>
                <w:sz w:val="17"/>
              </w:rPr>
              <w:t>Autor(es)</w:t>
            </w:r>
          </w:p>
        </w:tc>
        <w:tc>
          <w:tcPr>
            <w:tcBorders>
              <w:top w:val="single" w:sz="8" w:space="0" w:color="98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04040"/>
            <w:tcMar>
              <w:top w:w="60" w:type="dxa"/>
              <w:left w:w="60" w:type="dxa"/>
              <w:bottom w:w="60" w:type="dxa"/>
              <w:right w:w="60" w:type="dxa"/>
              <w:top w:w="70" w:type="dxa"/>
              <w:left w:w="70" w:type="dxa"/>
              <w:bottom w:w="70" w:type="dxa"/>
              <w:right w:w="70" w:type="dxa"/>
            </w:tcMar>
            <w:vAlign w:val="center"/>
            <w:tcW w:w="1814" w:type="dxa"/>
          </w:tcPr>
          <w:p w14:paraId="72D2DFAC" w14:textId="77777777" w:rsidR="00E5295B" w:rsidRDefault="00E5295B" w:rsidP="0070547D">
            <w:pPr>
              <w:keepNext w:val="0"/>
              <w:widowControl/>
              <w:spacing w:line="240" w:lineRule="auto" w:after="60" w:before="0"/>
              <w:ind w:left="60"/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  <w:r>
              <w:rPr>
                <w:rFonts w:ascii="Arial" w:eastAsia="Times New Roman" w:hAnsi="Arial" w:cs="Times New Roman"/>
                <w:b/>
                <w:color w:val="FFFFFF"/>
                <w:sz w:val="17"/>
              </w:rPr>
              <w:t>Fecha de modificación</w:t>
            </w:r>
          </w:p>
        </w:tc>
        <w:tc>
          <w:tcPr>
            <w:tcBorders>
              <w:top w:val="single" w:sz="8" w:space="0" w:color="98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04040"/>
            <w:tcMar>
              <w:top w:w="60" w:type="dxa"/>
              <w:left w:w="60" w:type="dxa"/>
              <w:bottom w:w="60" w:type="dxa"/>
              <w:right w:w="60" w:type="dxa"/>
              <w:top w:w="70" w:type="dxa"/>
              <w:left w:w="70" w:type="dxa"/>
              <w:bottom w:w="70" w:type="dxa"/>
              <w:right w:w="70" w:type="dxa"/>
            </w:tcMar>
            <w:vAlign w:val="center"/>
            <w:tcW w:w="850" w:type="dxa"/>
          </w:tcPr>
          <w:p w14:paraId="1EDBB29C" w14:textId="77777777" w:rsidR="00E5295B" w:rsidRDefault="00E5295B" w:rsidP="0070547D">
            <w:pPr>
              <w:keepNext w:val="0"/>
              <w:widowControl/>
              <w:spacing w:line="240" w:lineRule="auto" w:after="60" w:before="0"/>
              <w:ind w:left="60"/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  <w:r>
              <w:rPr>
                <w:rFonts w:ascii="Arial" w:eastAsia="Times New Roman" w:hAnsi="Arial" w:cs="Times New Roman"/>
                <w:b/>
                <w:color w:val="FFFFFF"/>
                <w:sz w:val="17"/>
              </w:rPr>
              <w:t>Versión</w:t>
            </w:r>
          </w:p>
        </w:tc>
        <w:tc>
          <w:tcPr>
            <w:tcBorders>
              <w:top w:val="single" w:sz="8" w:space="0" w:color="98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04040"/>
            <w:tcMar>
              <w:top w:w="60" w:type="dxa"/>
              <w:left w:w="60" w:type="dxa"/>
              <w:bottom w:w="60" w:type="dxa"/>
              <w:right w:w="60" w:type="dxa"/>
              <w:top w:w="70" w:type="dxa"/>
              <w:left w:w="70" w:type="dxa"/>
              <w:bottom w:w="70" w:type="dxa"/>
              <w:right w:w="70" w:type="dxa"/>
            </w:tcMar>
            <w:vAlign w:val="center"/>
            <w:tcW w:w="5783" w:type="dxa"/>
          </w:tcPr>
          <w:p w14:paraId="6D5FDE84" w14:textId="77777777" w:rsidR="00E5295B" w:rsidRDefault="00E5295B" w:rsidP="0070547D">
            <w:pPr>
              <w:keepNext w:val="0"/>
              <w:widowControl/>
              <w:spacing w:line="240" w:lineRule="auto" w:after="60" w:before="0"/>
              <w:ind w:left="60"/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  <w:r>
              <w:rPr>
                <w:rFonts w:ascii="Arial" w:eastAsia="Times New Roman" w:hAnsi="Arial" w:cs="Times New Roman"/>
                <w:b/>
                <w:color w:val="FFFFFF"/>
                <w:sz w:val="17"/>
              </w:rPr>
              <w:t>Descripción del cambio</w:t>
            </w:r>
          </w:p>
        </w:tc>
        <w:tc>
          <w:tcPr>
            <w:tcBorders>
              <w:top w:val="single" w:sz="8" w:space="0" w:color="98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04040"/>
            <w:tcMar>
              <w:top w:w="60" w:type="dxa"/>
              <w:left w:w="60" w:type="dxa"/>
              <w:bottom w:w="60" w:type="dxa"/>
              <w:right w:w="60" w:type="dxa"/>
              <w:top w:w="70" w:type="dxa"/>
              <w:left w:w="70" w:type="dxa"/>
              <w:bottom w:w="70" w:type="dxa"/>
              <w:right w:w="70" w:type="dxa"/>
            </w:tcMar>
            <w:vAlign w:val="center"/>
            <w:tcW w:w="1928" w:type="dxa"/>
          </w:tcPr>
          <w:p w14:paraId="11E8519C" w14:textId="77777777" w:rsidR="00E5295B" w:rsidRDefault="00E5295B" w:rsidP="0070547D">
            <w:pPr>
              <w:keepNext w:val="0"/>
              <w:widowControl/>
              <w:spacing w:line="240" w:lineRule="auto" w:after="60" w:before="0"/>
              <w:ind w:left="60"/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  <w:r>
              <w:rPr>
                <w:rFonts w:ascii="Arial" w:eastAsia="Times New Roman" w:hAnsi="Arial" w:cs="Times New Roman"/>
                <w:b/>
                <w:color w:val="FFFFFF"/>
                <w:sz w:val="17"/>
              </w:rPr>
              <w:t>Revisó</w:t>
            </w:r>
          </w:p>
        </w:tc>
        <w:tc>
          <w:tcPr>
            <w:tcBorders>
              <w:top w:val="single" w:sz="8" w:space="0" w:color="98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04040"/>
            <w:tcMar>
              <w:top w:w="60" w:type="dxa"/>
              <w:left w:w="60" w:type="dxa"/>
              <w:bottom w:w="60" w:type="dxa"/>
              <w:right w:w="60" w:type="dxa"/>
              <w:top w:w="70" w:type="dxa"/>
              <w:left w:w="70" w:type="dxa"/>
              <w:bottom w:w="70" w:type="dxa"/>
              <w:right w:w="70" w:type="dxa"/>
            </w:tcMar>
            <w:vAlign w:val="center"/>
            <w:tcW w:w="2858" w:type="dxa"/>
          </w:tcPr>
          <w:p w14:paraId="188F97A1" w14:textId="77777777" w:rsidR="00E5295B" w:rsidRDefault="00E5295B" w:rsidP="0070547D">
            <w:pPr>
              <w:keepNext w:val="0"/>
              <w:widowControl/>
              <w:spacing w:line="240" w:lineRule="auto" w:after="60" w:before="0"/>
              <w:ind w:left="60"/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  <w:r>
              <w:rPr>
                <w:rFonts w:ascii="Arial" w:eastAsia="Times New Roman" w:hAnsi="Arial" w:cs="Times New Roman"/>
                <w:b/>
                <w:color w:val="FFFFFF"/>
                <w:sz w:val="17"/>
              </w:rPr>
              <w:t>Estado</w:t>
            </w:r>
          </w:p>
        </w:tc>
      </w:tr>
      <w:tr w:rsidR="00E5295B" w14:paraId="5EE32C73" w14:textId="77777777" w:rsidTr="00E5295B">
        <w:trPr>
          <w:jc w:val="center"/>
          <w:cantSplit/>
        </w:trPr>
        <w:tc>
          <w:tcPr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  <w:top w:w="70" w:type="dxa"/>
              <w:left w:w="70" w:type="dxa"/>
              <w:bottom w:w="70" w:type="dxa"/>
              <w:right w:w="70" w:type="dxa"/>
            </w:tcMar>
            <w:vAlign w:val="center"/>
            <w:tcW w:w="1418" w:type="dxa"/>
          </w:tcPr>
          <w:p w14:paraId="64B818E8" w14:textId="77777777" w:rsidR="00E5295B" w:rsidRDefault="00E5295B" w:rsidP="0070547D">
            <w:pPr>
              <w:keepNext w:val="0"/>
              <w:widowControl/>
              <w:spacing w:line="240" w:lineRule="auto" w:after="60" w:before="0"/>
              <w:ind w:left="60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Times New Roman" w:hAnsi="Arial" w:cs="Times New Roman"/>
                <w:color w:val="000000"/>
                <w:sz w:val="17"/>
              </w:rPr>
              <w:t>JLAD</w:t>
            </w:r>
          </w:p>
        </w:tc>
        <w:tc>
          <w:tcPr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  <w:top w:w="70" w:type="dxa"/>
              <w:left w:w="70" w:type="dxa"/>
              <w:bottom w:w="70" w:type="dxa"/>
              <w:right w:w="70" w:type="dxa"/>
            </w:tcMar>
            <w:vAlign w:val="center"/>
            <w:tcW w:w="1814" w:type="dxa"/>
          </w:tcPr>
          <w:p w14:paraId="05A06E2D" w14:textId="77777777" w:rsidR="00E5295B" w:rsidRDefault="00E5295B" w:rsidP="0070547D">
            <w:pPr>
              <w:keepNext w:val="0"/>
              <w:widowControl/>
              <w:spacing w:line="240" w:lineRule="auto" w:after="60" w:before="0"/>
              <w:ind w:left="6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  <w:top w:w="70" w:type="dxa"/>
              <w:left w:w="70" w:type="dxa"/>
              <w:bottom w:w="70" w:type="dxa"/>
              <w:right w:w="70" w:type="dxa"/>
            </w:tcMar>
            <w:vAlign w:val="center"/>
            <w:tcW w:w="850" w:type="dxa"/>
          </w:tcPr>
          <w:p w14:paraId="76AF6B6B" w14:textId="77777777" w:rsidR="00E5295B" w:rsidRDefault="00E5295B" w:rsidP="0070547D">
            <w:pPr>
              <w:keepNext w:val="0"/>
              <w:widowControl/>
              <w:spacing w:line="240" w:lineRule="auto" w:after="60" w:before="0"/>
              <w:ind w:left="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Times New Roman" w:hAnsi="Arial" w:cs="Times New Roman"/>
                <w:color w:val="000000"/>
                <w:sz w:val="17"/>
              </w:rPr>
              <w:t>1.0</w:t>
            </w:r>
          </w:p>
        </w:tc>
        <w:tc>
          <w:tcPr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  <w:top w:w="70" w:type="dxa"/>
              <w:left w:w="70" w:type="dxa"/>
              <w:bottom w:w="70" w:type="dxa"/>
              <w:right w:w="70" w:type="dxa"/>
            </w:tcMar>
            <w:vAlign w:val="center"/>
            <w:tcW w:w="5783" w:type="dxa"/>
          </w:tcPr>
          <w:p w14:paraId="42B8D51E" w14:textId="77777777" w:rsidR="00E5295B" w:rsidRDefault="00E5295B" w:rsidP="0070547D">
            <w:pPr>
              <w:keepNext w:val="0"/>
              <w:widowControl/>
              <w:spacing w:line="240" w:lineRule="auto" w:after="60" w:befor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Times New Roman" w:hAnsi="Arial" w:cs="Times New Roman"/>
                <w:color w:val="000000"/>
                <w:sz w:val="17"/>
              </w:rPr>
              <w:t>Creación del Documento</w:t>
            </w:r>
          </w:p>
        </w:tc>
        <w:tc>
          <w:tcPr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  <w:top w:w="70" w:type="dxa"/>
              <w:left w:w="70" w:type="dxa"/>
              <w:bottom w:w="70" w:type="dxa"/>
              <w:right w:w="70" w:type="dxa"/>
            </w:tcMar>
            <w:vAlign w:val="center"/>
            <w:tcW w:w="1928" w:type="dxa"/>
          </w:tcPr>
          <w:p w14:paraId="47D4B371" w14:textId="77777777" w:rsidR="00E5295B" w:rsidRDefault="00E5295B" w:rsidP="0070547D">
            <w:pPr>
              <w:keepNext w:val="0"/>
              <w:widowControl/>
              <w:spacing w:line="240" w:lineRule="auto" w:after="60" w:before="0"/>
              <w:ind w:left="60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Times New Roman" w:hAnsi="Arial" w:cs="Times New Roman"/>
                <w:color w:val="000000"/>
                <w:sz w:val="17"/>
              </w:rPr>
              <w:t>OFVC</w:t>
            </w:r>
          </w:p>
        </w:tc>
        <w:tc>
          <w:tcPr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  <w:top w:w="70" w:type="dxa"/>
              <w:left w:w="70" w:type="dxa"/>
              <w:bottom w:w="70" w:type="dxa"/>
              <w:right w:w="70" w:type="dxa"/>
            </w:tcMar>
            <w:vAlign w:val="center"/>
            <w:tcW w:w="2858" w:type="dxa"/>
          </w:tcPr>
          <w:p w14:paraId="45F4E432" w14:textId="77777777" w:rsidR="00E5295B" w:rsidRDefault="00E5295B" w:rsidP="0070547D">
            <w:pPr>
              <w:keepNext w:val="0"/>
              <w:widowControl/>
              <w:spacing w:line="240" w:lineRule="auto" w:after="60" w:before="0"/>
              <w:ind w:left="60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Times New Roman" w:hAnsi="Arial" w:cs="Times New Roman"/>
                <w:color w:val="000000"/>
                <w:sz w:val="17"/>
              </w:rPr>
              <w:t>APROBADO</w:t>
            </w:r>
          </w:p>
        </w:tc>
      </w:tr>
      <w:tr w:rsidR="00E5295B" w14:paraId="2F9DC66F" w14:textId="77777777" w:rsidTr="00E5295B">
        <w:trPr>
          <w:jc w:val="center"/>
          <w:cantSplit/>
        </w:trPr>
        <w:tc>
          <w:tcPr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  <w:top w:w="70" w:type="dxa"/>
              <w:left w:w="70" w:type="dxa"/>
              <w:bottom w:w="70" w:type="dxa"/>
              <w:right w:w="70" w:type="dxa"/>
            </w:tcMar>
            <w:vAlign w:val="center"/>
            <w:tcW w:w="1418" w:type="dxa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7"/>
              </w:rPr>
            </w:r>
            <w:r>
              <w:rPr>
                <w:rFonts w:ascii="Arial" w:hAnsi="Arial"/>
                <w:color w:val="000000"/>
                <w:sz w:val="17"/>
              </w:rPr>
              <w:t>Por completar</w:t>
            </w:r>
          </w:p>
        </w:tc>
        <w:tc>
          <w:tcPr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  <w:top w:w="70" w:type="dxa"/>
              <w:left w:w="70" w:type="dxa"/>
              <w:bottom w:w="70" w:type="dxa"/>
              <w:right w:w="70" w:type="dxa"/>
            </w:tcMar>
            <w:vAlign w:val="center"/>
            <w:tcW w:w="1814" w:type="dxa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7"/>
              </w:rPr>
            </w:r>
            <w:r>
              <w:rPr>
                <w:rFonts w:ascii="Arial" w:hAnsi="Arial"/>
                <w:color w:val="000000"/>
                <w:sz w:val="17"/>
              </w:rPr>
              <w:t>30/09/2026</w:t>
            </w:r>
          </w:p>
        </w:tc>
        <w:tc>
          <w:tcPr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  <w:top w:w="70" w:type="dxa"/>
              <w:left w:w="70" w:type="dxa"/>
              <w:bottom w:w="70" w:type="dxa"/>
              <w:right w:w="70" w:type="dxa"/>
            </w:tcMar>
            <w:vAlign w:val="center"/>
            <w:tcW w:w="850" w:type="dxa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7"/>
              </w:rPr>
            </w:r>
            <w:r>
              <w:rPr>
                <w:rFonts w:ascii="Arial" w:hAnsi="Arial"/>
                <w:color w:val="000000"/>
                <w:sz w:val="17"/>
              </w:rPr>
              <w:t>1.2</w:t>
            </w:r>
          </w:p>
        </w:tc>
        <w:tc>
          <w:tcPr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  <w:top w:w="70" w:type="dxa"/>
              <w:left w:w="70" w:type="dxa"/>
              <w:bottom w:w="70" w:type="dxa"/>
              <w:right w:w="70" w:type="dxa"/>
            </w:tcMar>
            <w:vAlign w:val="center"/>
            <w:tcW w:w="5783" w:type="dxa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7"/>
              </w:rPr>
            </w:r>
            <w:r>
              <w:rPr>
                <w:rFonts w:ascii="Arial" w:hAnsi="Arial"/>
                <w:color w:val="000000"/>
                <w:sz w:val="17"/>
              </w:rPr>
              <w:t>Ajuste a localización de MCC y asociación de cada requerimiento con un OP principal</w:t>
            </w:r>
          </w:p>
        </w:tc>
        <w:tc>
          <w:tcPr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  <w:top w:w="70" w:type="dxa"/>
              <w:left w:w="70" w:type="dxa"/>
              <w:bottom w:w="70" w:type="dxa"/>
              <w:right w:w="70" w:type="dxa"/>
            </w:tcMar>
            <w:vAlign w:val="center"/>
            <w:tcW w:w="1928" w:type="dxa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7"/>
              </w:rPr>
            </w:r>
            <w:r>
              <w:rPr>
                <w:rFonts w:ascii="Arial" w:hAnsi="Arial"/>
                <w:color w:val="000000"/>
                <w:sz w:val="17"/>
              </w:rPr>
              <w:t>Pendiente</w:t>
            </w:r>
          </w:p>
        </w:tc>
        <w:tc>
          <w:tcPr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  <w:top w:w="70" w:type="dxa"/>
              <w:left w:w="70" w:type="dxa"/>
              <w:bottom w:w="70" w:type="dxa"/>
              <w:right w:w="70" w:type="dxa"/>
            </w:tcMar>
            <w:vAlign w:val="center"/>
            <w:tcW w:w="2858" w:type="dxa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7"/>
              </w:rPr>
            </w:r>
            <w:r>
              <w:rPr>
                <w:rFonts w:ascii="Arial" w:hAnsi="Arial"/>
                <w:color w:val="000000"/>
                <w:sz w:val="17"/>
              </w:rPr>
              <w:t>PROPUESTO</w:t>
            </w:r>
          </w:p>
        </w:tc>
      </w:tr>
    </w:tbl>
    <w:p>
      <w:pPr>
        <w:pStyle w:val="Ttulo"/>
      </w:pPr>
      <w:r>
        <w:t>Matriz de trazabilidad para la localización de MCC</w:t>
      </w:r>
    </w:p>
    <w:p>
      <w:r>
        <w:t>Sistema local para cargar una mastografía PNG de MEXBreast, analizarla mediante patches y una CNN, visualizar regiones candidatas y explorar sus resultados mediante una GUI. MCC significa agrupación de microcalcificaciones.</w:t>
      </w:r>
    </w:p>
    <w:p>
      <w:pPr>
        <w:pStyle w:val="Ttulo1"/>
      </w:pPr>
      <w:r>
        <w:t>Objetivos particulares ajustados</w:t>
      </w:r>
    </w:p>
    <w:p>
      <w:r>
        <w:rPr>
          <w:b/>
          <w:sz w:val="20"/>
        </w:rPr>
        <w:t>OP1.</w:t>
      </w:r>
      <w:r>
        <w:rPr>
          <w:sz w:val="20"/>
        </w:rPr>
        <w:t xml:space="preserve"> Caracterizar las mamografías y anotaciones de MEXBreast, considerando sus propiedades de imagen, resolución espacial, distribución de las agrupaciones de microcalcificaciones y limitaciones para la generación de patches y la evaluación de su localización.</w:t>
      </w:r>
    </w:p>
    <w:p>
      <w:r>
        <w:rPr>
          <w:b/>
          <w:sz w:val="20"/>
        </w:rPr>
        <w:t>OP2.</w:t>
      </w:r>
      <w:r>
        <w:rPr>
          <w:sz w:val="20"/>
        </w:rPr>
        <w:t xml:space="preserve"> Determinar una estrategia de preprocesamiento mediante la comparación cuantitativa y visual de técnicas de normalización, realce de contraste y reducción de ruido, considerando la conservación de las características relevantes de las agrupaciones de microcalcificaciones.</w:t>
      </w:r>
    </w:p>
    <w:p>
      <w:r>
        <w:rPr>
          <w:b/>
          <w:sz w:val="20"/>
        </w:rPr>
        <w:t>OP3.</w:t>
      </w:r>
      <w:r>
        <w:rPr>
          <w:sz w:val="20"/>
        </w:rPr>
        <w:t xml:space="preserve"> Diseñar una estrategia de generación, etiquetado y organización de patches que considere las anotaciones y la escala espacial de las imágenes, e incluya regiones con el hallazgo objetivo y regiones de contraste definidas por un protocolo, para construir conjuntos independientes de entrenamiento, validación y prueba.</w:t>
      </w:r>
    </w:p>
    <w:p>
      <w:r>
        <w:rPr>
          <w:b/>
          <w:sz w:val="20"/>
        </w:rPr>
        <w:t>OP4.</w:t>
      </w:r>
      <w:r>
        <w:rPr>
          <w:sz w:val="20"/>
        </w:rPr>
        <w:t xml:space="preserve"> Desarrollar y evaluar un método de localización de regiones candidatas con agrupaciones de microcalcificaciones, basado en el análisis de patches mediante una CNN, valorando su capacidad para localizar las agrupaciones anotadas y controlar las falsas propuestas en imágenes no utilizadas durante el entrenamiento.</w:t>
      </w:r>
    </w:p>
    <w:p>
      <w:r>
        <w:rPr>
          <w:b/>
          <w:sz w:val="20"/>
        </w:rPr>
        <w:t>OP5.</w:t>
      </w:r>
      <w:r>
        <w:rPr>
          <w:sz w:val="20"/>
        </w:rPr>
        <w:t xml:space="preserve"> Implementar Grad-CAM sobre la CNN entrenada e integrar los mapas de los patches sobre la mamografía original, evaluando su correspondencia espacial con las regiones anotadas y su utilidad para explorar las predicciones del modelo.</w:t>
      </w:r>
    </w:p>
    <w:p>
      <w:r>
        <w:rPr>
          <w:b/>
          <w:sz w:val="20"/>
        </w:rPr>
        <w:t>OP6.</w:t>
      </w:r>
      <w:r>
        <w:rPr>
          <w:sz w:val="20"/>
        </w:rPr>
        <w:t xml:space="preserve"> Desarrollar una interfaz gráfica local que permita cargar una mastografía, visualizar la distribución de patches y las regiones candidatas, seleccionar y ampliar regiones, y consultar sus predicciones, mapas de activación, histogramas y características disponibles.</w:t>
      </w:r>
    </w:p>
    <w:p>
      <w:r>
        <w:t>La numeración OP1 a OP6 corresponde a esta reformulación. Se fusionan los anteriores OP2 y OP3 en el nuevo OP2, y los anteriores OP6 y OP7 en el nuevo OP5. El anterior OP8 corresponde ahora al OP6.</w:t>
      </w:r>
    </w:p>
    <w:p>
      <w:pPr>
        <w:pStyle w:val="Ttulo1"/>
        <w:pageBreakBefore/>
      </w:pPr>
      <w:r>
        <w:t>Requerimientos funcionales y trazabilidad</w:t>
      </w:r>
    </w:p>
    <w:p>
      <w:r>
        <w:t>Objetivo → Requerimiento → Diseño → Componente → Caso de uso → Prueba. RF-01 a RF-05 corresponden a funciones de análisis y desarrollo; RF-06 a RF-10 describen la interacción del usuario. Los diseños y las pruebas son propuestas.</w:t>
      </w:r>
    </w:p>
    <w:p>
      <w:r>
        <w:t>Cada requerimiento se asocia con un único OP principal. Las dependencias se documentan por separado; el cumplimiento de los objetivos requiere las pruebas y evidencias de investigación correspondientes.</w:t>
      </w:r>
    </w:p>
    <w:tbl>
      <w:tblPr>
        <w:tblStyle w:val="Tablaconcuadrcula"/>
        <w:jc w:val="center"/>
        <w:tblLayout w:type="fixed"/>
        <w:tblLook w:val="04A0" w:firstRow="1" w:lastRow="0" w:firstColumn="1" w:lastColumn="0" w:noHBand="0" w:noVBand="1"/>
        <w:tblW w:w="14651" w:type="dxa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964"/>
        <w:gridCol w:w="3458"/>
        <w:gridCol w:w="1701"/>
        <w:gridCol w:w="1446"/>
        <w:gridCol w:w="1786"/>
        <w:gridCol w:w="2353"/>
        <w:gridCol w:w="992"/>
        <w:gridCol w:w="1950"/>
      </w:tblGrid>
      <w:tr w:rsidR="00BB6BDA" w14:paraId="3E7B6C1C" w14:textId="77777777" w:rsidTr="00BB6BDA">
        <w:trPr>
          <w:cantSplit/>
          <w:tblHeader/>
        </w:trPr>
        <w:tc>
          <w:tcPr>
            <w:vAlign w:val="center"/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  <w:shd w:fill="C00000"/>
          </w:tcPr>
          <w:p>
            <w:pPr>
              <w:keepNext w:val="0"/>
              <w:widowControl/>
              <w:spacing w:after="60" w:before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Objetivo</w:t>
            </w:r>
          </w:p>
        </w:tc>
        <w:tc>
          <w:tcPr>
            <w:vAlign w:val="center"/>
            <w:tcW w:w="3459" w:type="dxa"/>
            <w:tcMar>
              <w:top w:w="70" w:type="dxa"/>
              <w:left w:w="70" w:type="dxa"/>
              <w:bottom w:w="70" w:type="dxa"/>
              <w:right w:w="70" w:type="dxa"/>
            </w:tcMar>
            <w:shd w:fill="C00000"/>
          </w:tcPr>
          <w:p>
            <w:pPr>
              <w:keepNext w:val="0"/>
              <w:widowControl/>
              <w:spacing w:after="60" w:before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Requerimiento</w:t>
            </w:r>
          </w:p>
        </w:tc>
        <w:tc>
          <w:tcPr>
            <w:vAlign w:val="center"/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shd w:fill="C00000"/>
          </w:tcPr>
          <w:p>
            <w:pPr>
              <w:keepNext w:val="0"/>
              <w:widowControl/>
              <w:spacing w:after="60" w:before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Diagramas de diseño</w:t>
            </w:r>
          </w:p>
        </w:tc>
        <w:tc>
          <w:tcPr>
            <w:vAlign w:val="center"/>
            <w:tcW w:w="1446" w:type="dxa"/>
            <w:tcMar>
              <w:top w:w="70" w:type="dxa"/>
              <w:left w:w="70" w:type="dxa"/>
              <w:bottom w:w="70" w:type="dxa"/>
              <w:right w:w="70" w:type="dxa"/>
            </w:tcMar>
            <w:shd w:fill="C00000"/>
          </w:tcPr>
          <w:p>
            <w:pPr>
              <w:keepNext w:val="0"/>
              <w:widowControl/>
              <w:spacing w:after="60" w:before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Componente</w:t>
            </w:r>
          </w:p>
        </w:tc>
        <w:tc>
          <w:tcPr>
            <w:vAlign w:val="center"/>
            <w:tcW w:w="1786" w:type="dxa"/>
            <w:tcMar>
              <w:top w:w="70" w:type="dxa"/>
              <w:left w:w="70" w:type="dxa"/>
              <w:bottom w:w="70" w:type="dxa"/>
              <w:right w:w="70" w:type="dxa"/>
            </w:tcMar>
            <w:shd w:fill="C00000"/>
          </w:tcPr>
          <w:p>
            <w:pPr>
              <w:keepNext w:val="0"/>
              <w:widowControl/>
              <w:spacing w:after="60" w:before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Casos de uso</w:t>
            </w:r>
          </w:p>
        </w:tc>
        <w:tc>
          <w:tcPr>
            <w:vAlign w:val="center"/>
            <w:tcW w:w="2353" w:type="dxa"/>
            <w:tcMar>
              <w:top w:w="70" w:type="dxa"/>
              <w:left w:w="70" w:type="dxa"/>
              <w:bottom w:w="70" w:type="dxa"/>
              <w:right w:w="70" w:type="dxa"/>
            </w:tcMar>
            <w:shd w:fill="C00000"/>
          </w:tcPr>
          <w:p>
            <w:pPr>
              <w:keepNext w:val="0"/>
              <w:widowControl/>
              <w:spacing w:after="60" w:before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Pruebas</w:t>
            </w:r>
          </w:p>
        </w:tc>
        <w:tc>
          <w:tcPr>
            <w:vAlign w:val="center"/>
            <w:tcW w:w="992" w:type="dxa"/>
            <w:tcMar>
              <w:top w:w="70" w:type="dxa"/>
              <w:left w:w="70" w:type="dxa"/>
              <w:bottom w:w="70" w:type="dxa"/>
              <w:right w:w="70" w:type="dxa"/>
            </w:tcMar>
            <w:shd w:fill="C00000"/>
          </w:tcPr>
          <w:p>
            <w:pPr>
              <w:keepNext w:val="0"/>
              <w:widowControl/>
              <w:spacing w:after="60" w:before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Intentos</w:t>
            </w:r>
          </w:p>
        </w:tc>
        <w:tc>
          <w:tcPr>
            <w:vAlign w:val="center"/>
            <w:tcW w:w="1950" w:type="dxa"/>
            <w:tcMar>
              <w:top w:w="70" w:type="dxa"/>
              <w:left w:w="70" w:type="dxa"/>
              <w:bottom w:w="70" w:type="dxa"/>
              <w:right w:w="70" w:type="dxa"/>
            </w:tcMar>
            <w:shd w:fill="C00000"/>
          </w:tcPr>
          <w:p>
            <w:pPr>
              <w:keepNext w:val="0"/>
              <w:widowControl/>
              <w:spacing w:after="60" w:before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Resultados</w:t>
            </w:r>
          </w:p>
        </w:tc>
      </w:tr>
      <w:tr w:rsidR="00BB6BDA" w14:paraId="511A54EB" w14:textId="77777777" w:rsidTr="00BB6BDA">
        <w:trPr>
          <w:cantSplit/>
        </w:trPr>
        <w:tc>
          <w:tcPr>
            <w:vAlign w:val="center"/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after="60" w:before="0" w:line="240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color w:val="000000"/>
                <w:sz w:val="18"/>
              </w:rPr>
              <w:t>OP1</w:t>
            </w:r>
          </w:p>
        </w:tc>
        <w:tc>
          <w:tcPr>
            <w:vAlign w:val="center"/>
            <w:tcW w:w="3459" w:type="dxa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RF-01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Caracterización de datos y regiones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El sistema deberá registrar las propiedades disponibles de imágenes y anotaciones de MEXBreast, calcular histogramas y características seleccionadas de las regiones, e identificar datos ausentes e inconsistencias. Las características específicas se definirán posteriormente.</w:t>
            </w:r>
          </w:p>
        </w:tc>
        <w:tc>
          <w:tcPr>
            <w:vAlign w:val="center"/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D-01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Flujo de caracterización y modelo de relaciones entre imagen, anotación y región.</w:t>
            </w:r>
          </w:p>
        </w:tc>
        <w:tc>
          <w:tcPr>
            <w:vAlign w:val="center"/>
            <w:tcW w:w="1446" w:type="dxa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C-01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Caracterizador de imágenes y regiones.</w:t>
            </w:r>
          </w:p>
        </w:tc>
        <w:tc>
          <w:tcPr>
            <w:vAlign w:val="center"/>
            <w:tcW w:w="1786" w:type="dxa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CU-01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El investigador consulta propiedades, distribuciones y observaciones de calidad.</w:t>
            </w:r>
          </w:p>
        </w:tc>
        <w:tc>
          <w:tcPr>
            <w:vAlign w:val="center"/>
            <w:tcW w:w="2353" w:type="dxa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color w:val="000000"/>
                <w:sz w:val="18"/>
              </w:rPr>
              <w:t>P-01.1 Contrastar propiedades con archivos y anotaciones.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P-01.2 Validar cálculos definidos con datos conocidos.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P-01.3 Comprobar datos ausentes y vínculos de origen.</w:t>
            </w:r>
          </w:p>
        </w:tc>
        <w:tc>
          <w:tcPr>
            <w:vAlign w:val="center"/>
            <w:tcW w:w="992" w:type="dxa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after="60" w:before="0" w:line="240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color w:val="000000"/>
                <w:sz w:val="18"/>
              </w:rPr>
              <w:t>Sin ejecutar.</w:t>
            </w:r>
          </w:p>
        </w:tc>
        <w:tc>
          <w:tcPr>
            <w:vAlign w:val="center"/>
            <w:tcW w:w="1950" w:type="dxa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color w:val="000000"/>
                <w:sz w:val="18"/>
              </w:rPr>
              <w:t>Esperado: Ficha de datos, histogramas y características disponibles.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Sin resultados experimentales.</w:t>
            </w:r>
          </w:p>
        </w:tc>
      </w:tr>
      <w:tr w:rsidR="00BB6BDA" w14:paraId="1EED044C" w14:textId="77777777" w:rsidTr="00BB6BDA">
        <w:trPr>
          <w:cantSplit/>
        </w:trPr>
        <w:tc>
          <w:tcPr>
            <w:vAlign w:val="center"/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  <w:shd w:fill="F4F4F4"/>
          </w:tcPr>
          <w:p>
            <w:pPr>
              <w:keepNext w:val="0"/>
              <w:widowControl/>
              <w:spacing w:after="60" w:before="0" w:line="240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color w:val="000000"/>
                <w:sz w:val="18"/>
              </w:rPr>
              <w:t>OP2</w:t>
            </w:r>
          </w:p>
        </w:tc>
        <w:tc>
          <w:tcPr>
            <w:vAlign w:val="center"/>
            <w:tcW w:w="3459" w:type="dxa"/>
            <w:tcMar>
              <w:top w:w="70" w:type="dxa"/>
              <w:left w:w="70" w:type="dxa"/>
              <w:bottom w:w="70" w:type="dxa"/>
              <w:right w:w="70" w:type="dxa"/>
            </w:tcMar>
            <w:shd w:fill="F4F4F4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RF-02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Preprocesamiento configurable y evaluación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El sistema deberá aplicar y comparar configuraciones de normalización, contraste y reducción de ruido; conservar el original, los parámetros, las métricas y las valoraciones visuales que sustenten la selección de una configuración para el análisis automático.</w:t>
            </w:r>
          </w:p>
        </w:tc>
        <w:tc>
          <w:tcPr>
            <w:vAlign w:val="center"/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shd w:fill="F4F4F4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D-02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Flujo de preprocesamiento y comparación; registro de parámetros y criterios de selección.</w:t>
            </w:r>
          </w:p>
        </w:tc>
        <w:tc>
          <w:tcPr>
            <w:vAlign w:val="center"/>
            <w:tcW w:w="1446" w:type="dxa"/>
            <w:tcMar>
              <w:top w:w="70" w:type="dxa"/>
              <w:left w:w="70" w:type="dxa"/>
              <w:bottom w:w="70" w:type="dxa"/>
              <w:right w:w="70" w:type="dxa"/>
            </w:tcMar>
            <w:shd w:fill="F4F4F4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C-02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Procesador y evaluador de imágenes.</w:t>
            </w:r>
          </w:p>
        </w:tc>
        <w:tc>
          <w:tcPr>
            <w:vAlign w:val="center"/>
            <w:tcW w:w="1786" w:type="dxa"/>
            <w:tcMar>
              <w:top w:w="70" w:type="dxa"/>
              <w:left w:w="70" w:type="dxa"/>
              <w:bottom w:w="70" w:type="dxa"/>
              <w:right w:w="70" w:type="dxa"/>
            </w:tcMar>
            <w:shd w:fill="F4F4F4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CU-02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El investigador compara alternativas y guarda una configuración validada.</w:t>
            </w:r>
          </w:p>
        </w:tc>
        <w:tc>
          <w:tcPr>
            <w:vAlign w:val="center"/>
            <w:tcW w:w="2353" w:type="dxa"/>
            <w:tcMar>
              <w:top w:w="70" w:type="dxa"/>
              <w:left w:w="70" w:type="dxa"/>
              <w:bottom w:w="70" w:type="dxa"/>
              <w:right w:w="70" w:type="dxa"/>
            </w:tcMar>
            <w:shd w:fill="F4F4F4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color w:val="000000"/>
                <w:sz w:val="18"/>
              </w:rPr>
              <w:t>P-02.1 Verificar aplicación de parámetros.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P-02.2 Evaluar conservación de detalles en ROI de referencia.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P-02.3 Reproducir resultados y verificar criterios de selección.</w:t>
            </w:r>
          </w:p>
        </w:tc>
        <w:tc>
          <w:tcPr>
            <w:vAlign w:val="center"/>
            <w:tcW w:w="992" w:type="dxa"/>
            <w:tcMar>
              <w:top w:w="70" w:type="dxa"/>
              <w:left w:w="70" w:type="dxa"/>
              <w:bottom w:w="70" w:type="dxa"/>
              <w:right w:w="70" w:type="dxa"/>
            </w:tcMar>
            <w:shd w:fill="F4F4F4"/>
          </w:tcPr>
          <w:p>
            <w:pPr>
              <w:keepNext w:val="0"/>
              <w:widowControl/>
              <w:spacing w:after="60" w:before="0" w:line="240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color w:val="000000"/>
                <w:sz w:val="18"/>
              </w:rPr>
              <w:t>Sin ejecutar.</w:t>
            </w:r>
          </w:p>
        </w:tc>
        <w:tc>
          <w:tcPr>
            <w:vAlign w:val="center"/>
            <w:tcW w:w="1950" w:type="dxa"/>
            <w:tcMar>
              <w:top w:w="70" w:type="dxa"/>
              <w:left w:w="70" w:type="dxa"/>
              <w:bottom w:w="70" w:type="dxa"/>
              <w:right w:w="70" w:type="dxa"/>
            </w:tcMar>
            <w:shd w:fill="F4F4F4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color w:val="000000"/>
                <w:sz w:val="18"/>
              </w:rPr>
              <w:t>Esperado: Configuración documentada e imágenes comparativas.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Sin resultados experimentales.</w:t>
            </w:r>
          </w:p>
        </w:tc>
      </w:tr>
      <w:tr w:rsidR="00BB6BDA" w14:paraId="2B1CAC37" w14:textId="77777777" w:rsidTr="00BB6BDA">
        <w:trPr>
          <w:cantSplit/>
        </w:trPr>
        <w:tc>
          <w:tcPr>
            <w:vAlign w:val="center"/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after="60" w:before="0" w:line="240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color w:val="000000"/>
                <w:sz w:val="18"/>
              </w:rPr>
              <w:t>OP3</w:t>
            </w:r>
          </w:p>
        </w:tc>
        <w:tc>
          <w:tcPr>
            <w:vAlign w:val="center"/>
            <w:tcW w:w="3459" w:type="dxa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RF-03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Generación y organización de patches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El sistema deberá generar patches considerando escala disponible, contexto y solapamiento, registrar sus coordenadas y, durante el desarrollo, asignar etiquetas según un protocolo y separar conjuntos por paciente o estudio cuando existan identificadores verificables.</w:t>
            </w:r>
          </w:p>
        </w:tc>
        <w:tc>
          <w:tcPr>
            <w:vAlign w:val="center"/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D-03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Flujo de extracción y etiquetado; esquema de metadatos y particiones.</w:t>
            </w:r>
          </w:p>
        </w:tc>
        <w:tc>
          <w:tcPr>
            <w:vAlign w:val="center"/>
            <w:tcW w:w="1446" w:type="dxa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C-03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Generador y organizador de patches.</w:t>
            </w:r>
          </w:p>
        </w:tc>
        <w:tc>
          <w:tcPr>
            <w:vAlign w:val="center"/>
            <w:tcW w:w="1786" w:type="dxa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CU-03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El investigador configura recortes y conjuntos; el sistema genera patches para inferencia sin anotaciones previas.</w:t>
            </w:r>
          </w:p>
        </w:tc>
        <w:tc>
          <w:tcPr>
            <w:vAlign w:val="center"/>
            <w:tcW w:w="2353" w:type="dxa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color w:val="000000"/>
                <w:sz w:val="18"/>
              </w:rPr>
              <w:t>P-03.1 Verificar dimensiones, escala y coordenadas.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P-03.2 Revisar etiquetas y casos inciertos.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P-03.3 Comprobar separación de grupos y derivados; documentar identificadores faltantes.</w:t>
            </w:r>
          </w:p>
        </w:tc>
        <w:tc>
          <w:tcPr>
            <w:vAlign w:val="center"/>
            <w:tcW w:w="992" w:type="dxa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after="60" w:before="0" w:line="240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color w:val="000000"/>
                <w:sz w:val="18"/>
              </w:rPr>
              <w:t>Sin ejecutar.</w:t>
            </w:r>
          </w:p>
        </w:tc>
        <w:tc>
          <w:tcPr>
            <w:vAlign w:val="center"/>
            <w:tcW w:w="1950" w:type="dxa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color w:val="000000"/>
                <w:sz w:val="18"/>
              </w:rPr>
              <w:t>Esperado: Patches trazables y conjuntos de desarrollo y prueba.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Sin resultados experimentales.</w:t>
            </w:r>
          </w:p>
        </w:tc>
      </w:tr>
      <w:tr w:rsidR="00BB6BDA" w14:paraId="355E960F" w14:textId="77777777" w:rsidTr="00BB6BDA">
        <w:trPr>
          <w:cantSplit/>
        </w:trPr>
        <w:tc>
          <w:tcPr>
            <w:vAlign w:val="center"/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  <w:shd w:fill="F4F4F4"/>
          </w:tcPr>
          <w:p>
            <w:pPr>
              <w:keepNext w:val="0"/>
              <w:widowControl/>
              <w:spacing w:after="60" w:before="0" w:line="240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color w:val="000000"/>
                <w:sz w:val="18"/>
              </w:rPr>
              <w:t>OP4</w:t>
            </w:r>
          </w:p>
        </w:tc>
        <w:tc>
          <w:tcPr>
            <w:vAlign w:val="center"/>
            <w:tcW w:w="3459" w:type="dxa"/>
            <w:tcMar>
              <w:top w:w="70" w:type="dxa"/>
              <w:left w:w="70" w:type="dxa"/>
              <w:bottom w:w="70" w:type="dxa"/>
              <w:right w:w="70" w:type="dxa"/>
            </w:tcMar>
            <w:shd w:fill="F4F4F4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RF-04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Localización mediante CNN y evaluación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El sistema deberá permitir entrenar y evaluar la CNN en el entorno de desarrollo y utilizar el modelo seleccionado para puntuar patches y obtener regiones candidatas. Registrará sensibilidad de localización y falsas propuestas, con reglas de agrupación y correspondencia con anotaciones definidas.</w:t>
            </w:r>
          </w:p>
        </w:tc>
        <w:tc>
          <w:tcPr>
            <w:vAlign w:val="center"/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shd w:fill="F4F4F4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D-04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Arquitectura CNN; flujo de entrenamiento, inferencia, agrupación y evaluación.</w:t>
            </w:r>
          </w:p>
        </w:tc>
        <w:tc>
          <w:tcPr>
            <w:vAlign w:val="center"/>
            <w:tcW w:w="1446" w:type="dxa"/>
            <w:tcMar>
              <w:top w:w="70" w:type="dxa"/>
              <w:left w:w="70" w:type="dxa"/>
              <w:bottom w:w="70" w:type="dxa"/>
              <w:right w:w="70" w:type="dxa"/>
            </w:tcMar>
            <w:shd w:fill="F4F4F4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C-04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Motor CNN y evaluador de localización.</w:t>
            </w:r>
          </w:p>
        </w:tc>
        <w:tc>
          <w:tcPr>
            <w:vAlign w:val="center"/>
            <w:tcW w:w="1786" w:type="dxa"/>
            <w:tcMar>
              <w:top w:w="70" w:type="dxa"/>
              <w:left w:w="70" w:type="dxa"/>
              <w:bottom w:w="70" w:type="dxa"/>
              <w:right w:w="70" w:type="dxa"/>
            </w:tcMar>
            <w:shd w:fill="F4F4F4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CU-04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El investigador evalúa el localizador; el sistema genera candidatos al analizar una imagen.</w:t>
            </w:r>
          </w:p>
        </w:tc>
        <w:tc>
          <w:tcPr>
            <w:vAlign w:val="center"/>
            <w:tcW w:w="2353" w:type="dxa"/>
            <w:tcMar>
              <w:top w:w="70" w:type="dxa"/>
              <w:left w:w="70" w:type="dxa"/>
              <w:bottom w:w="70" w:type="dxa"/>
              <w:right w:w="70" w:type="dxa"/>
            </w:tcMar>
            <w:shd w:fill="F4F4F4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color w:val="000000"/>
                <w:sz w:val="18"/>
              </w:rPr>
              <w:t>P-04.1 Verificar independencia del conjunto de prueba.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P-04.2 Validar métricas y emparejamiento con anotaciones.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P-04.3 Comprobar agrupación de propuestas duplicadas.</w:t>
            </w:r>
          </w:p>
        </w:tc>
        <w:tc>
          <w:tcPr>
            <w:vAlign w:val="center"/>
            <w:tcW w:w="992" w:type="dxa"/>
            <w:tcMar>
              <w:top w:w="70" w:type="dxa"/>
              <w:left w:w="70" w:type="dxa"/>
              <w:bottom w:w="70" w:type="dxa"/>
              <w:right w:w="70" w:type="dxa"/>
            </w:tcMar>
            <w:shd w:fill="F4F4F4"/>
          </w:tcPr>
          <w:p>
            <w:pPr>
              <w:keepNext w:val="0"/>
              <w:widowControl/>
              <w:spacing w:after="60" w:before="0" w:line="240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color w:val="000000"/>
                <w:sz w:val="18"/>
              </w:rPr>
              <w:t>Sin ejecutar.</w:t>
            </w:r>
          </w:p>
        </w:tc>
        <w:tc>
          <w:tcPr>
            <w:vAlign w:val="center"/>
            <w:tcW w:w="1950" w:type="dxa"/>
            <w:tcMar>
              <w:top w:w="70" w:type="dxa"/>
              <w:left w:w="70" w:type="dxa"/>
              <w:bottom w:w="70" w:type="dxa"/>
              <w:right w:w="70" w:type="dxa"/>
            </w:tcMar>
            <w:shd w:fill="F4F4F4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color w:val="000000"/>
                <w:sz w:val="18"/>
              </w:rPr>
              <w:t>Esperado: Modelo, candidatos e informe de desempeño.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Sin resultados experimentales.</w:t>
            </w:r>
          </w:p>
        </w:tc>
      </w:tr>
      <w:tr w:rsidR="00BB6BDA" w14:paraId="47C6EEF1" w14:textId="77777777" w:rsidTr="00BB6BDA">
        <w:trPr>
          <w:cantSplit/>
        </w:trPr>
        <w:tc>
          <w:tcPr>
            <w:vAlign w:val="center"/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after="60" w:before="0" w:line="240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color w:val="000000"/>
                <w:sz w:val="18"/>
              </w:rPr>
              <w:t>OP5</w:t>
            </w:r>
          </w:p>
        </w:tc>
        <w:tc>
          <w:tcPr>
            <w:vAlign w:val="center"/>
            <w:tcW w:w="3459" w:type="dxa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RF-05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Generación e integración de Grad-CAM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El sistema deberá obtener mapas Grad-CAM por patch y clase e integrarlos sobre la mamografía mediante las coordenadas y transformaciones registradas. Distinguirá cobertura y solapamientos, y permitirá comparar activaciones con las ROI anotadas cuando estén disponibles.</w:t>
            </w:r>
          </w:p>
        </w:tc>
        <w:tc>
          <w:tcPr>
            <w:vAlign w:val="center"/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D-05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Flujo de Grad-CAM, transformación inversa y composición de mapas.</w:t>
            </w:r>
          </w:p>
        </w:tc>
        <w:tc>
          <w:tcPr>
            <w:vAlign w:val="center"/>
            <w:tcW w:w="1446" w:type="dxa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C-05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Generador y compositor de mapas.</w:t>
            </w:r>
          </w:p>
        </w:tc>
        <w:tc>
          <w:tcPr>
            <w:vAlign w:val="center"/>
            <w:tcW w:w="1786" w:type="dxa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CU-05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El investigador examina la activación global y su correspondencia con las anotaciones.</w:t>
            </w:r>
          </w:p>
        </w:tc>
        <w:tc>
          <w:tcPr>
            <w:vAlign w:val="center"/>
            <w:tcW w:w="2353" w:type="dxa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color w:val="000000"/>
                <w:sz w:val="18"/>
              </w:rPr>
              <w:t>P-05.1 Verificar clase, patch y mapa asociados.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P-05.2 Comprobar alineación y solapamientos.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P-05.3 Evaluar correspondencia con ROI y tratamiento de mapas vacíos.</w:t>
            </w:r>
          </w:p>
        </w:tc>
        <w:tc>
          <w:tcPr>
            <w:vAlign w:val="center"/>
            <w:tcW w:w="992" w:type="dxa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after="60" w:before="0" w:line="240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color w:val="000000"/>
                <w:sz w:val="18"/>
              </w:rPr>
              <w:t>Sin ejecutar.</w:t>
            </w:r>
          </w:p>
        </w:tc>
        <w:tc>
          <w:tcPr>
            <w:vAlign w:val="center"/>
            <w:tcW w:w="1950" w:type="dxa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color w:val="000000"/>
                <w:sz w:val="18"/>
              </w:rPr>
              <w:t>Esperado: Mapa integrado y evaluación de correspondencia espacial.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Sin resultados experimentales.</w:t>
            </w:r>
          </w:p>
        </w:tc>
      </w:tr>
      <w:tr w:rsidR="00BB6BDA" w14:paraId="0A99C94D" w14:textId="77777777" w:rsidTr="00BB6BDA">
        <w:trPr>
          <w:cantSplit/>
        </w:trPr>
        <w:tc>
          <w:tcPr>
            <w:vAlign w:val="center"/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  <w:shd w:fill="F4F4F4"/>
          </w:tcPr>
          <w:p>
            <w:pPr>
              <w:keepNext w:val="0"/>
              <w:widowControl/>
              <w:spacing w:after="60" w:before="0" w:line="240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color w:val="000000"/>
                <w:sz w:val="18"/>
              </w:rPr>
              <w:t>OP6</w:t>
            </w:r>
          </w:p>
        </w:tc>
        <w:tc>
          <w:tcPr>
            <w:vAlign w:val="center"/>
            <w:tcW w:w="3459" w:type="dxa"/>
            <w:tcMar>
              <w:top w:w="70" w:type="dxa"/>
              <w:left w:w="70" w:type="dxa"/>
              <w:bottom w:w="70" w:type="dxa"/>
              <w:right w:w="70" w:type="dxa"/>
            </w:tcMar>
            <w:shd w:fill="F4F4F4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RF-06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Carga de PNG y análisis automático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La GUI deberá permitir cargar una mastografía PNG mediante «Cargar imagen», validar el archivo e iniciar el preprocesamiento y análisis automático con la configuración seleccionada. Mostrará progreso y errores y conservará la imagen original.</w:t>
            </w:r>
          </w:p>
        </w:tc>
        <w:tc>
          <w:tcPr>
            <w:vAlign w:val="center"/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shd w:fill="F4F4F4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D-06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Diseño de carga y estados; secuencia de ejecución de los módulos.</w:t>
            </w:r>
          </w:p>
        </w:tc>
        <w:tc>
          <w:tcPr>
            <w:vAlign w:val="center"/>
            <w:tcW w:w="1446" w:type="dxa"/>
            <w:tcMar>
              <w:top w:w="70" w:type="dxa"/>
              <w:left w:w="70" w:type="dxa"/>
              <w:bottom w:w="70" w:type="dxa"/>
              <w:right w:w="70" w:type="dxa"/>
            </w:tcMar>
            <w:shd w:fill="F4F4F4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C-06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Controlador de carga y análisis local.</w:t>
            </w:r>
          </w:p>
        </w:tc>
        <w:tc>
          <w:tcPr>
            <w:vAlign w:val="center"/>
            <w:tcW w:w="1786" w:type="dxa"/>
            <w:tcMar>
              <w:top w:w="70" w:type="dxa"/>
              <w:left w:w="70" w:type="dxa"/>
              <w:bottom w:w="70" w:type="dxa"/>
              <w:right w:w="70" w:type="dxa"/>
            </w:tcMar>
            <w:shd w:fill="F4F4F4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CU-06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El usuario carga una imagen y recibe el resultado o un mensaje de error comprensible.</w:t>
            </w:r>
          </w:p>
        </w:tc>
        <w:tc>
          <w:tcPr>
            <w:vAlign w:val="center"/>
            <w:tcW w:w="2353" w:type="dxa"/>
            <w:tcMar>
              <w:top w:w="70" w:type="dxa"/>
              <w:left w:w="70" w:type="dxa"/>
              <w:bottom w:w="70" w:type="dxa"/>
              <w:right w:w="70" w:type="dxa"/>
            </w:tcMar>
            <w:shd w:fill="F4F4F4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color w:val="000000"/>
                <w:sz w:val="18"/>
              </w:rPr>
              <w:t>P-06.1 Probar PNG válidos e inválidos.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P-06.2 Verificar progreso y manejo de fallos.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P-06.3 Comprobar conservación del original y funcionamiento local.</w:t>
            </w:r>
          </w:p>
        </w:tc>
        <w:tc>
          <w:tcPr>
            <w:vAlign w:val="center"/>
            <w:tcW w:w="992" w:type="dxa"/>
            <w:tcMar>
              <w:top w:w="70" w:type="dxa"/>
              <w:left w:w="70" w:type="dxa"/>
              <w:bottom w:w="70" w:type="dxa"/>
              <w:right w:w="70" w:type="dxa"/>
            </w:tcMar>
            <w:shd w:fill="F4F4F4"/>
          </w:tcPr>
          <w:p>
            <w:pPr>
              <w:keepNext w:val="0"/>
              <w:widowControl/>
              <w:spacing w:after="60" w:before="0" w:line="240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color w:val="000000"/>
                <w:sz w:val="18"/>
              </w:rPr>
              <w:t>Sin ejecutar.</w:t>
            </w:r>
          </w:p>
        </w:tc>
        <w:tc>
          <w:tcPr>
            <w:vAlign w:val="center"/>
            <w:tcW w:w="1950" w:type="dxa"/>
            <w:tcMar>
              <w:top w:w="70" w:type="dxa"/>
              <w:left w:w="70" w:type="dxa"/>
              <w:bottom w:w="70" w:type="dxa"/>
              <w:right w:w="70" w:type="dxa"/>
            </w:tcMar>
            <w:shd w:fill="F4F4F4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color w:val="000000"/>
                <w:sz w:val="18"/>
              </w:rPr>
              <w:t>Esperado: Imagen cargada y análisis finalizado o error identificado.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Sin resultados experimentales.</w:t>
            </w:r>
          </w:p>
        </w:tc>
      </w:tr>
      <w:tr w:rsidR="00BB6BDA" w14:paraId="7E5CA80D" w14:textId="77777777" w:rsidTr="00BB6BDA">
        <w:trPr>
          <w:cantSplit/>
        </w:trPr>
        <w:tc>
          <w:tcPr>
            <w:vAlign w:val="center"/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after="60" w:before="0" w:line="240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color w:val="000000"/>
                <w:sz w:val="18"/>
              </w:rPr>
              <w:t>OP6</w:t>
            </w:r>
          </w:p>
        </w:tc>
        <w:tc>
          <w:tcPr>
            <w:vAlign w:val="center"/>
            <w:tcW w:w="3459" w:type="dxa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RF-07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Vista global con malla y capas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La GUI deberá mostrar la mastografía con una malla que represente los patches analizados y capas distinguibles de regiones candidatas y Grad-CAM. Permitirá mostrar u ocultar capas e identificar zonas no analizadas; documentará la representación de patches solapados.</w:t>
            </w:r>
          </w:p>
        </w:tc>
        <w:tc>
          <w:tcPr>
            <w:vAlign w:val="center"/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D-07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Prototipo del visor y diseño de capas, cobertura y superposición.</w:t>
            </w:r>
          </w:p>
        </w:tc>
        <w:tc>
          <w:tcPr>
            <w:vAlign w:val="center"/>
            <w:tcW w:w="1446" w:type="dxa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C-07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Visor global de mamografías.</w:t>
            </w:r>
          </w:p>
        </w:tc>
        <w:tc>
          <w:tcPr>
            <w:vAlign w:val="center"/>
            <w:tcW w:w="1786" w:type="dxa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CU-07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El usuario explora la imagen completa y alterna malla, candidatos y mapa de calor.</w:t>
            </w:r>
          </w:p>
        </w:tc>
        <w:tc>
          <w:tcPr>
            <w:vAlign w:val="center"/>
            <w:tcW w:w="2353" w:type="dxa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color w:val="000000"/>
                <w:sz w:val="18"/>
              </w:rPr>
              <w:t>P-07.1 Comprobar malla y coordenadas de patches.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P-07.2 Verificar alineación y controles de capas.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P-07.3 Distinguir cobertura de baja activación.</w:t>
            </w:r>
          </w:p>
        </w:tc>
        <w:tc>
          <w:tcPr>
            <w:vAlign w:val="center"/>
            <w:tcW w:w="992" w:type="dxa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after="60" w:before="0" w:line="240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color w:val="000000"/>
                <w:sz w:val="18"/>
              </w:rPr>
              <w:t>Sin ejecutar.</w:t>
            </w:r>
          </w:p>
        </w:tc>
        <w:tc>
          <w:tcPr>
            <w:vAlign w:val="center"/>
            <w:tcW w:w="1950" w:type="dxa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color w:val="000000"/>
                <w:sz w:val="18"/>
              </w:rPr>
              <w:t>Esperado: Vista global interactiva con malla y capas diferenciadas.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Sin resultados experimentales.</w:t>
            </w:r>
          </w:p>
        </w:tc>
      </w:tr>
      <w:tr>
        <w:trPr>
          <w:cantSplit/>
        </w:trPr>
        <w:tc>
          <w:tcPr>
            <w:vAlign w:val="center"/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  <w:shd w:fill="F4F4F4"/>
          </w:tcPr>
          <w:p>
            <w:pPr>
              <w:keepNext w:val="0"/>
              <w:widowControl/>
              <w:spacing w:after="60" w:before="0" w:line="240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color w:val="000000"/>
                <w:sz w:val="18"/>
              </w:rPr>
              <w:t>OP6</w:t>
            </w:r>
          </w:p>
        </w:tc>
        <w:tc>
          <w:tcPr>
            <w:vAlign w:val="center"/>
            <w:tcW w:w="3459" w:type="dxa"/>
            <w:tcMar>
              <w:top w:w="70" w:type="dxa"/>
              <w:left w:w="70" w:type="dxa"/>
              <w:bottom w:w="70" w:type="dxa"/>
              <w:right w:w="70" w:type="dxa"/>
            </w:tcMar>
            <w:shd w:fill="F4F4F4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RF-08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Selección y ampliación de patches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La GUI deberá resaltar el patch al pasar el cursor y, al hacer clic, mostrarlo ampliado con su ubicación, puntuación y mapa disponible. Cuando varios patches cubran el mismo punto, deberá permitir identificar y seleccionar cada uno.</w:t>
            </w:r>
          </w:p>
        </w:tc>
        <w:tc>
          <w:tcPr>
            <w:vAlign w:val="center"/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shd w:fill="F4F4F4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D-08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Diagrama de eventos del cursor y selección; prototipo de vista ampliada.</w:t>
            </w:r>
          </w:p>
        </w:tc>
        <w:tc>
          <w:tcPr>
            <w:vAlign w:val="center"/>
            <w:tcW w:w="1446" w:type="dxa"/>
            <w:tcMar>
              <w:top w:w="70" w:type="dxa"/>
              <w:left w:w="70" w:type="dxa"/>
              <w:bottom w:w="70" w:type="dxa"/>
              <w:right w:w="70" w:type="dxa"/>
            </w:tcMar>
            <w:shd w:fill="F4F4F4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C-08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Controlador de selección y ampliación.</w:t>
            </w:r>
          </w:p>
        </w:tc>
        <w:tc>
          <w:tcPr>
            <w:vAlign w:val="center"/>
            <w:tcW w:w="1786" w:type="dxa"/>
            <w:tcMar>
              <w:top w:w="70" w:type="dxa"/>
              <w:left w:w="70" w:type="dxa"/>
              <w:bottom w:w="70" w:type="dxa"/>
              <w:right w:w="70" w:type="dxa"/>
            </w:tcMar>
            <w:shd w:fill="F4F4F4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CU-08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El usuario recorre la malla, selecciona un patch y examina su detalle.</w:t>
            </w:r>
          </w:p>
        </w:tc>
        <w:tc>
          <w:tcPr>
            <w:vAlign w:val="center"/>
            <w:tcW w:w="2353" w:type="dxa"/>
            <w:tcMar>
              <w:top w:w="70" w:type="dxa"/>
              <w:left w:w="70" w:type="dxa"/>
              <w:bottom w:w="70" w:type="dxa"/>
              <w:right w:w="70" w:type="dxa"/>
            </w:tcMar>
            <w:shd w:fill="F4F4F4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color w:val="000000"/>
                <w:sz w:val="18"/>
              </w:rPr>
              <w:t>P-08.1 Verificar hover y clic con zoom y desplazamiento.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P-08.2 Comprobar selección en solapamientos.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P-08.3 Validar vínculo entre patch y panel ampliado.</w:t>
            </w:r>
          </w:p>
        </w:tc>
        <w:tc>
          <w:tcPr>
            <w:vAlign w:val="center"/>
            <w:tcW w:w="992" w:type="dxa"/>
            <w:tcMar>
              <w:top w:w="70" w:type="dxa"/>
              <w:left w:w="70" w:type="dxa"/>
              <w:bottom w:w="70" w:type="dxa"/>
              <w:right w:w="70" w:type="dxa"/>
            </w:tcMar>
            <w:shd w:fill="F4F4F4"/>
          </w:tcPr>
          <w:p>
            <w:pPr>
              <w:keepNext w:val="0"/>
              <w:widowControl/>
              <w:spacing w:after="60" w:before="0" w:line="240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color w:val="000000"/>
                <w:sz w:val="18"/>
              </w:rPr>
              <w:t>Sin ejecutar.</w:t>
            </w:r>
          </w:p>
        </w:tc>
        <w:tc>
          <w:tcPr>
            <w:vAlign w:val="center"/>
            <w:tcW w:w="1950" w:type="dxa"/>
            <w:tcMar>
              <w:top w:w="70" w:type="dxa"/>
              <w:left w:w="70" w:type="dxa"/>
              <w:bottom w:w="70" w:type="dxa"/>
              <w:right w:w="70" w:type="dxa"/>
            </w:tcMar>
            <w:shd w:fill="F4F4F4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color w:val="000000"/>
                <w:sz w:val="18"/>
              </w:rPr>
              <w:t>Esperado: Patch ampliado con ubicación y resultados asociados.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Sin resultados experimentales.</w:t>
            </w:r>
          </w:p>
        </w:tc>
      </w:tr>
      <w:tr>
        <w:trPr>
          <w:cantSplit/>
        </w:trPr>
        <w:tc>
          <w:tcPr>
            <w:vAlign w:val="center"/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after="60" w:before="0" w:line="240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color w:val="000000"/>
                <w:sz w:val="18"/>
              </w:rPr>
              <w:t>OP6</w:t>
            </w:r>
          </w:p>
        </w:tc>
        <w:tc>
          <w:tcPr>
            <w:vAlign w:val="center"/>
            <w:tcW w:w="3459" w:type="dxa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RF-09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Consulta de características de la región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La GUI deberá mostrar el histograma y las características disponibles del patch o región seleccionada, indicando su alcance y unidades. Permitirá comparar la vista original con representaciones procesadas que se validen. Umbralización y esqueletizado permanecerán como opciones por evaluar.</w:t>
            </w:r>
          </w:p>
        </w:tc>
        <w:tc>
          <w:tcPr>
            <w:vAlign w:val="center"/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D-09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Diseño del panel de región, histogramas y vistas comparativas.</w:t>
            </w:r>
          </w:p>
        </w:tc>
        <w:tc>
          <w:tcPr>
            <w:vAlign w:val="center"/>
            <w:tcW w:w="1446" w:type="dxa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C-09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Panel de región y vistas.</w:t>
            </w:r>
          </w:p>
        </w:tc>
        <w:tc>
          <w:tcPr>
            <w:vAlign w:val="center"/>
            <w:tcW w:w="1786" w:type="dxa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CU-09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El usuario consulta información del área seleccionada y compara sus representaciones disponibles.</w:t>
            </w:r>
          </w:p>
        </w:tc>
        <w:tc>
          <w:tcPr>
            <w:vAlign w:val="center"/>
            <w:tcW w:w="2353" w:type="dxa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color w:val="000000"/>
                <w:sz w:val="18"/>
              </w:rPr>
              <w:t>P-09.1 Verificar región utilizada para los cálculos.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P-09.2 Comparar valores mostrados con resultados del caracterizador.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P-09.3 Comprobar unidades y datos no estimables.</w:t>
            </w:r>
          </w:p>
        </w:tc>
        <w:tc>
          <w:tcPr>
            <w:vAlign w:val="center"/>
            <w:tcW w:w="992" w:type="dxa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after="60" w:before="0" w:line="240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color w:val="000000"/>
                <w:sz w:val="18"/>
              </w:rPr>
              <w:t>Sin ejecutar.</w:t>
            </w:r>
          </w:p>
        </w:tc>
        <w:tc>
          <w:tcPr>
            <w:vAlign w:val="center"/>
            <w:tcW w:w="1950" w:type="dxa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color w:val="000000"/>
                <w:sz w:val="18"/>
              </w:rPr>
              <w:t>Esperado: Histograma, características y vistas disponibles de la región.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Sin resultados experimentales.</w:t>
            </w:r>
          </w:p>
        </w:tc>
      </w:tr>
      <w:tr>
        <w:trPr>
          <w:cantSplit/>
        </w:trPr>
        <w:tc>
          <w:tcPr>
            <w:vAlign w:val="center"/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  <w:shd w:fill="F4F4F4"/>
          </w:tcPr>
          <w:p>
            <w:pPr>
              <w:keepNext w:val="0"/>
              <w:widowControl/>
              <w:spacing w:after="60" w:before="0" w:line="240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color w:val="000000"/>
                <w:sz w:val="18"/>
              </w:rPr>
              <w:t>OP6</w:t>
            </w:r>
          </w:p>
        </w:tc>
        <w:tc>
          <w:tcPr>
            <w:vAlign w:val="center"/>
            <w:tcW w:w="3459" w:type="dxa"/>
            <w:tcMar>
              <w:top w:w="70" w:type="dxa"/>
              <w:left w:w="70" w:type="dxa"/>
              <w:bottom w:w="70" w:type="dxa"/>
              <w:right w:w="70" w:type="dxa"/>
            </w:tcMar>
            <w:shd w:fill="F4F4F4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RF-10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Consulta del desempeño del modelo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La GUI deberá presentar métricas previamente calculadas sobre datos de prueba, indicando versión del modelo, conjunto y unidad de evaluación. Distinguirá esos valores de las puntuaciones de la imagen y de cada patch; no generará métricas de acierto de una imagen nueva sin referencias.</w:t>
            </w:r>
          </w:p>
        </w:tc>
        <w:tc>
          <w:tcPr>
            <w:vAlign w:val="center"/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shd w:fill="F4F4F4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D-10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Diseño del panel de desempeño y asociación con el informe de evaluación.</w:t>
            </w:r>
          </w:p>
        </w:tc>
        <w:tc>
          <w:tcPr>
            <w:vAlign w:val="center"/>
            <w:tcW w:w="1446" w:type="dxa"/>
            <w:tcMar>
              <w:top w:w="70" w:type="dxa"/>
              <w:left w:w="70" w:type="dxa"/>
              <w:bottom w:w="70" w:type="dxa"/>
              <w:right w:w="70" w:type="dxa"/>
            </w:tcMar>
            <w:shd w:fill="F4F4F4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C-10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Visor de métricas del modelo.</w:t>
            </w:r>
          </w:p>
        </w:tc>
        <w:tc>
          <w:tcPr>
            <w:vAlign w:val="center"/>
            <w:tcW w:w="1786" w:type="dxa"/>
            <w:tcMar>
              <w:top w:w="70" w:type="dxa"/>
              <w:left w:w="70" w:type="dxa"/>
              <w:bottom w:w="70" w:type="dxa"/>
              <w:right w:w="70" w:type="dxa"/>
            </w:tcMar>
            <w:shd w:fill="F4F4F4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CU-10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El usuario consulta sensibilidad, F1, accuracy u otras métricas disponibles y sus condiciones de evaluación.</w:t>
            </w:r>
          </w:p>
        </w:tc>
        <w:tc>
          <w:tcPr>
            <w:vAlign w:val="center"/>
            <w:tcW w:w="2353" w:type="dxa"/>
            <w:tcMar>
              <w:top w:w="70" w:type="dxa"/>
              <w:left w:w="70" w:type="dxa"/>
              <w:bottom w:w="70" w:type="dxa"/>
              <w:right w:w="70" w:type="dxa"/>
            </w:tcMar>
            <w:shd w:fill="F4F4F4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color w:val="000000"/>
                <w:sz w:val="18"/>
              </w:rPr>
              <w:t>P-10.1 Contrastar valores con el informe de prueba.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P-10.2 Verificar versión, conjunto y unidad.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P-10.3 Comprobar separación entre métricas y puntuaciones.</w:t>
            </w:r>
          </w:p>
        </w:tc>
        <w:tc>
          <w:tcPr>
            <w:vAlign w:val="center"/>
            <w:tcW w:w="992" w:type="dxa"/>
            <w:tcMar>
              <w:top w:w="70" w:type="dxa"/>
              <w:left w:w="70" w:type="dxa"/>
              <w:bottom w:w="70" w:type="dxa"/>
              <w:right w:w="70" w:type="dxa"/>
            </w:tcMar>
            <w:shd w:fill="F4F4F4"/>
          </w:tcPr>
          <w:p>
            <w:pPr>
              <w:keepNext w:val="0"/>
              <w:widowControl/>
              <w:spacing w:after="60" w:before="0" w:line="240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color w:val="000000"/>
                <w:sz w:val="18"/>
              </w:rPr>
              <w:t>Sin ejecutar.</w:t>
            </w:r>
          </w:p>
        </w:tc>
        <w:tc>
          <w:tcPr>
            <w:vAlign w:val="center"/>
            <w:tcW w:w="1950" w:type="dxa"/>
            <w:tcMar>
              <w:top w:w="70" w:type="dxa"/>
              <w:left w:w="70" w:type="dxa"/>
              <w:bottom w:w="70" w:type="dxa"/>
              <w:right w:w="70" w:type="dxa"/>
            </w:tcMar>
            <w:shd w:fill="F4F4F4"/>
          </w:tcPr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color w:val="000000"/>
                <w:sz w:val="18"/>
              </w:rPr>
              <w:t>Esperado: Panel de desempeño identificado y separado del caso actual.</w:t>
            </w:r>
          </w:p>
          <w:p>
            <w:pPr>
              <w:keepNext w:val="0"/>
              <w:widowControl/>
              <w:spacing w:after="60" w:before="0" w:line="240" w:lineRule="auto"/>
            </w:pPr>
            <w:r>
              <w:rPr>
                <w:rFonts w:ascii="Arial" w:hAnsi="Arial"/>
                <w:color w:val="000000"/>
                <w:sz w:val="18"/>
              </w:rPr>
              <w:t>Sin resultados experimentales.</w:t>
            </w:r>
          </w:p>
        </w:tc>
      </w:tr>
    </w:tbl>
    <w:p>
      <w:pPr>
        <w:pStyle w:val="Ttulo1"/>
        <w:pageBreakBefore/>
      </w:pPr>
      <w:r>
        <w:t>Dependencias y criterios de alcance</w:t>
      </w:r>
    </w:p>
    <w:p>
      <w:pPr>
        <w:pStyle w:val="Heading2"/>
      </w:pPr>
      <w:r>
        <w:t>Flujo del usuario</w:t>
      </w:r>
    </w:p>
    <w:p>
      <w:r>
        <w:t>Cargar PNG → Preprocesar → Generar patches → Analizar con CNN → Obtener candidatos y Grad-CAM → Mostrar la malla → Seleccionar un patch → Consultar sus resultados.</w:t>
      </w:r>
    </w:p>
    <w:p>
      <w:pPr>
        <w:pStyle w:val="Heading2"/>
      </w:pPr>
      <w:r>
        <w:t>Relaciones entre requerimientos</w:t>
      </w:r>
    </w:p>
    <w:p>
      <w:r>
        <w:t>RF-06 coordina RF-02, RF-03, RF-04 y RF-05 para ejecutar el análisis. Esta dependencia no convierte a RF-06 en evidencia de cumplimiento de OP2 a OP5.</w:t>
      </w:r>
    </w:p>
    <w:p>
      <w:r>
        <w:t>RF-07 presenta los patches de RF-03 y los resultados de RF-04 y RF-05. RF-08 permite seleccionar sus elementos.</w:t>
      </w:r>
    </w:p>
    <w:p>
      <w:r>
        <w:t>RF-09 consulta las características calculadas por RF-01 para el área seleccionada. RF-10 muestra las métricas generadas por RF-04.</w:t>
      </w:r>
    </w:p>
    <w:p>
      <w:r>
        <w:t>RF-01 a RF-05 incluyen capacidades del entorno de investigación. La GUI del especialista no necesita exponer controles de entrenamiento, etiquetado o selección experimental de parámetros.</w:t>
      </w:r>
    </w:p>
    <w:p>
      <w:pPr>
        <w:pStyle w:val="Heading2"/>
      </w:pPr>
      <w:r>
        <w:t>Criterios de interpretación y evaluación</w:t>
      </w:r>
    </w:p>
    <w:p>
      <w:r>
        <w:rPr>
          <w:b/>
          <w:sz w:val="19"/>
        </w:rPr>
        <w:t>Alcance de los datos.</w:t>
      </w:r>
      <w:r>
        <w:rPr>
          <w:sz w:val="19"/>
        </w:rPr>
        <w:t xml:space="preserve"> La evaluación sobre MEXBreast estudiará la localización en mastografías con MCC. No permitirá afirmar desempeño sobre estudios completamente negativos sin incorporar datos adecuados para esa evaluación.</w:t>
      </w:r>
    </w:p>
    <w:p>
      <w:r>
        <w:rPr>
          <w:b/>
          <w:sz w:val="19"/>
        </w:rPr>
        <w:t>Etiquetado.</w:t>
      </w:r>
      <w:r>
        <w:rPr>
          <w:sz w:val="19"/>
        </w:rPr>
        <w:t xml:space="preserve"> Una región fuera de las cajas anotadas no se considerará automáticamente libre de toda microcalcificación. Los patches de contraste o negativos se definirán mediante el protocolo de revisión; los casos inciertos se identificarán.</w:t>
      </w:r>
    </w:p>
    <w:p>
      <w:r>
        <w:rPr>
          <w:b/>
          <w:sz w:val="19"/>
        </w:rPr>
        <w:t>Métricas.</w:t>
      </w:r>
      <w:r>
        <w:rPr>
          <w:sz w:val="19"/>
        </w:rPr>
        <w:t xml:space="preserve"> La sensibilidad de localización y las falsas propuestas por imagen se calcularán con referencias y reglas de emparejamiento definidas. Accuracy y F1 podrán reportarse para clasificación de patches si existen etiquetas compatibles. Los valores del conjunto de prueba no son métricas de acierto de la imagen nueva.</w:t>
      </w:r>
    </w:p>
    <w:p>
      <w:r>
        <w:rPr>
          <w:b/>
          <w:sz w:val="19"/>
        </w:rPr>
        <w:t>Representaciones.</w:t>
      </w:r>
      <w:r>
        <w:rPr>
          <w:sz w:val="19"/>
        </w:rPr>
        <w:t xml:space="preserve"> La malla representa patches; los candidatos son propuestas del localizador; Grad-CAM representa activaciones aproximadas. Se distinguirán también las regiones no analizadas y las de baja activación. La intensidad de Grad-CAM no se presentará como probabilidad de MCC.</w:t>
      </w:r>
    </w:p>
    <w:p>
      <w:r>
        <w:rPr>
          <w:b/>
          <w:sz w:val="19"/>
        </w:rPr>
        <w:t>Características.</w:t>
      </w:r>
      <w:r>
        <w:rPr>
          <w:sz w:val="19"/>
        </w:rPr>
        <w:t xml:space="preserve"> Se precisará si la medición corresponde al patch, una caja o una región segmentada. Las medidas específicas y las transformaciones exploratorias se definirán posteriormente. Las formas individuales de las MCs requerirán delimitaciones adecuadas; un mapa Grad-CAM no las sustituye.</w:t>
      </w:r>
    </w:p>
    <w:p>
      <w:r>
        <w:rPr>
          <w:b/>
          <w:sz w:val="19"/>
        </w:rPr>
        <w:t>Salidas abiertas.</w:t>
      </w:r>
      <w:r>
        <w:rPr>
          <w:sz w:val="19"/>
        </w:rPr>
        <w:t xml:space="preserve"> Podrán incorporarse regiones resaltadas, posibles bounding boxes, mapas de calor, histogramas, tablas o vistas procesadas si se define y evalúa su método. Umbralización y esqueletizado no son compromisos obligatorios de esta versión.</w:t>
      </w:r>
    </w:p>
    <w:p>
      <w:r>
        <w:t>Las pruebas de la matriz están propuestas y sus criterios cuantitativos se definirán durante el desarrollo. La columna Resultados contiene salidas esperadas, no resultados obtenidos.</w:t>
      </w:r>
    </w:p>
    <w:sectPr w:rsidR="007B3A94">
      <w:headerReference w:type="default" r:id="rId10"/>
      <w:footerReference w:type="default" r:id="rId11"/>
      <w:type w:val="continuous"/>
      <w:pgSz w:w="15840" w:h="12240" w:orient="landscape"/>
      <w:pgMar w:top="2013" w:right="595" w:bottom="1191" w:left="595" w:header="198" w:footer="1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12B055" w14:textId="77777777" w:rsidR="00B726A9" w:rsidRDefault="00B726A9" w:rsidP="00334FC3">
      <w:r>
        <w:separator/>
      </w:r>
    </w:p>
  </w:endnote>
  <w:endnote w:type="continuationSeparator" w:id="0">
    <w:p w14:paraId="080F15A0" w14:textId="77777777" w:rsidR="00B726A9" w:rsidRDefault="00B726A9" w:rsidP="00334F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F2140" w14:textId="77777777" w:rsidR="007B3A94" w:rsidRDefault="007B3A94" w:rsidP="00FC4F1F">
    <w:pPr>
      <w:ind w:right="8567"/>
      <w:rPr>
        <w:sz w:val="18"/>
      </w:rPr>
    </w:pPr>
    <w:proofErr w:type="spellStart"/>
    <w:r>
      <w:rPr>
        <w:sz w:val="18"/>
      </w:rPr>
      <w:t>c.c.p</w:t>
    </w:r>
    <w:proofErr w:type="spellEnd"/>
    <w:r>
      <w:rPr>
        <w:sz w:val="18"/>
      </w:rPr>
      <w:t>. Archivo</w:t>
    </w:r>
    <w:r>
      <w:rPr>
        <w:spacing w:val="1"/>
        <w:sz w:val="18"/>
      </w:rPr>
      <w:t xml:space="preserve"> </w:t>
    </w:r>
    <w:r>
      <w:rPr>
        <w:sz w:val="18"/>
      </w:rPr>
      <w:t>Academia/MATH</w:t>
    </w:r>
  </w:p>
  <w:p w14:paraId="53AB59B5" w14:textId="77777777" w:rsidR="007B3A94" w:rsidRDefault="007B3A94" w:rsidP="007B3A94">
    <w:pPr>
      <w:pStyle w:val="Textoindependiente"/>
      <w:spacing w:before="8"/>
      <w:rPr>
        <w:sz w:val="12"/>
      </w:rPr>
    </w:pPr>
  </w:p>
  <w:p w14:paraId="6F9D5D34" w14:textId="77777777" w:rsidR="007B3A94" w:rsidRDefault="007B3A94" w:rsidP="007B3A94">
    <w:pPr>
      <w:pStyle w:val="Textoindependiente"/>
      <w:spacing w:line="117" w:lineRule="exact"/>
      <w:ind w:left="-25"/>
      <w:rPr>
        <w:sz w:val="11"/>
      </w:rPr>
    </w:pPr>
    <w:r>
      <w:rPr>
        <w:noProof/>
        <w:position w:val="-1"/>
        <w:sz w:val="11"/>
      </w:rPr>
      <mc:AlternateContent>
        <mc:Choice Requires="wpg">
          <w:drawing>
            <wp:inline distT="0" distB="0" distL="0" distR="0" wp14:anchorId="366822F9" wp14:editId="54127BFB">
              <wp:extent cx="6934200" cy="74930"/>
              <wp:effectExtent l="0" t="0" r="3175" b="3175"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34200" cy="74930"/>
                        <a:chOff x="0" y="0"/>
                        <a:chExt cx="10920" cy="118"/>
                      </a:xfrm>
                    </wpg:grpSpPr>
                    <wps:wsp>
                      <wps:cNvPr id="3" name="AutoShape 3"/>
                      <wps:cNvSpPr>
                        <a:spLocks/>
                      </wps:cNvSpPr>
                      <wps:spPr bwMode="auto">
                        <a:xfrm>
                          <a:off x="0" y="0"/>
                          <a:ext cx="10920" cy="118"/>
                        </a:xfrm>
                        <a:custGeom>
                          <a:avLst/>
                          <a:gdLst>
                            <a:gd name="T0" fmla="*/ 10920 w 10920"/>
                            <a:gd name="T1" fmla="*/ 89 h 118"/>
                            <a:gd name="T2" fmla="*/ 0 w 10920"/>
                            <a:gd name="T3" fmla="*/ 89 h 118"/>
                            <a:gd name="T4" fmla="*/ 0 w 10920"/>
                            <a:gd name="T5" fmla="*/ 118 h 118"/>
                            <a:gd name="T6" fmla="*/ 10920 w 10920"/>
                            <a:gd name="T7" fmla="*/ 118 h 118"/>
                            <a:gd name="T8" fmla="*/ 10920 w 10920"/>
                            <a:gd name="T9" fmla="*/ 89 h 118"/>
                            <a:gd name="T10" fmla="*/ 10920 w 10920"/>
                            <a:gd name="T11" fmla="*/ 0 h 118"/>
                            <a:gd name="T12" fmla="*/ 0 w 10920"/>
                            <a:gd name="T13" fmla="*/ 0 h 118"/>
                            <a:gd name="T14" fmla="*/ 0 w 10920"/>
                            <a:gd name="T15" fmla="*/ 60 h 118"/>
                            <a:gd name="T16" fmla="*/ 10920 w 10920"/>
                            <a:gd name="T17" fmla="*/ 60 h 118"/>
                            <a:gd name="T18" fmla="*/ 10920 w 10920"/>
                            <a:gd name="T19" fmla="*/ 0 h 1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0920" h="118">
                              <a:moveTo>
                                <a:pt x="10920" y="89"/>
                              </a:moveTo>
                              <a:lnTo>
                                <a:pt x="0" y="89"/>
                              </a:lnTo>
                              <a:lnTo>
                                <a:pt x="0" y="118"/>
                              </a:lnTo>
                              <a:lnTo>
                                <a:pt x="10920" y="118"/>
                              </a:lnTo>
                              <a:lnTo>
                                <a:pt x="10920" y="89"/>
                              </a:lnTo>
                              <a:close/>
                              <a:moveTo>
                                <a:pt x="10920" y="0"/>
                              </a:moveTo>
                              <a:lnTo>
                                <a:pt x="0" y="0"/>
                              </a:lnTo>
                              <a:lnTo>
                                <a:pt x="0" y="60"/>
                              </a:lnTo>
                              <a:lnTo>
                                <a:pt x="10920" y="60"/>
                              </a:lnTo>
                              <a:lnTo>
                                <a:pt x="109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3E956294" id="Group 2" o:spid="_x0000_s1026" style="width:546pt;height:5.9pt;mso-position-horizontal-relative:char;mso-position-vertical-relative:line" coordsize="10920,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">
              <v:shape id="AutoShape 3" o:spid="_x0000_s1027" style="position:absolute;width:10920;height:118;visibility:visible;mso-wrap-style:square;v-text-anchor:top" coordsize="10920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" path="m10920,89l,89r,29l10920,118r,-29xm10920,l,,,60r10920,l10920,xe" fillcolor="#c00000" stroked="f">
                <v:path arrowok="t" o:connecttype="custom" o:connectlocs="10920,89;0,89;0,118;10920,118;10920,89;10920,0;0,0;0,60;10920,60;10920,0" o:connectangles="0,0,0,0,0,0,0,0,0,0"/>
              </v:shape>
              <w10:anchorlock/>
            </v:group>
          </w:pict>
        </mc:Fallback>
      </mc:AlternateContent>
    </w:r>
  </w:p>
  <w:p w14:paraId="030D75AD" w14:textId="77777777" w:rsidR="007B3A94" w:rsidRDefault="007B3A94" w:rsidP="007B3A94">
    <w:pPr>
      <w:spacing w:line="237" w:lineRule="auto"/>
      <w:ind w:left="3804" w:hanging="3661"/>
      <w:rPr>
        <w:b/>
        <w:sz w:val="20"/>
      </w:rPr>
    </w:pPr>
    <w:r>
      <w:rPr>
        <w:b/>
        <w:sz w:val="20"/>
      </w:rPr>
      <w:t>Boulevard</w:t>
    </w:r>
    <w:r>
      <w:rPr>
        <w:b/>
        <w:spacing w:val="-3"/>
        <w:sz w:val="20"/>
      </w:rPr>
      <w:t xml:space="preserve"> </w:t>
    </w:r>
    <w:r>
      <w:rPr>
        <w:b/>
        <w:sz w:val="20"/>
      </w:rPr>
      <w:t>El</w:t>
    </w:r>
    <w:r>
      <w:rPr>
        <w:b/>
        <w:spacing w:val="-1"/>
        <w:sz w:val="20"/>
      </w:rPr>
      <w:t xml:space="preserve"> </w:t>
    </w:r>
    <w:r>
      <w:rPr>
        <w:b/>
        <w:sz w:val="20"/>
      </w:rPr>
      <w:t>Bote</w:t>
    </w:r>
    <w:r>
      <w:rPr>
        <w:b/>
        <w:spacing w:val="-1"/>
        <w:sz w:val="20"/>
      </w:rPr>
      <w:t xml:space="preserve"> </w:t>
    </w:r>
    <w:r>
      <w:rPr>
        <w:b/>
        <w:sz w:val="20"/>
      </w:rPr>
      <w:t>S/N,</w:t>
    </w:r>
    <w:r>
      <w:rPr>
        <w:b/>
        <w:spacing w:val="-4"/>
        <w:sz w:val="20"/>
      </w:rPr>
      <w:t xml:space="preserve"> </w:t>
    </w:r>
    <w:r>
      <w:rPr>
        <w:b/>
        <w:sz w:val="20"/>
      </w:rPr>
      <w:t>Cerro</w:t>
    </w:r>
    <w:r>
      <w:rPr>
        <w:b/>
        <w:spacing w:val="-2"/>
        <w:sz w:val="20"/>
      </w:rPr>
      <w:t xml:space="preserve"> </w:t>
    </w:r>
    <w:r>
      <w:rPr>
        <w:b/>
        <w:sz w:val="20"/>
      </w:rPr>
      <w:t>del</w:t>
    </w:r>
    <w:r>
      <w:rPr>
        <w:b/>
        <w:spacing w:val="-3"/>
        <w:sz w:val="20"/>
      </w:rPr>
      <w:t xml:space="preserve"> </w:t>
    </w:r>
    <w:r>
      <w:rPr>
        <w:b/>
        <w:sz w:val="20"/>
      </w:rPr>
      <w:t>Gato,</w:t>
    </w:r>
    <w:r>
      <w:rPr>
        <w:b/>
        <w:spacing w:val="-2"/>
        <w:sz w:val="20"/>
      </w:rPr>
      <w:t xml:space="preserve"> </w:t>
    </w:r>
    <w:r>
      <w:rPr>
        <w:b/>
        <w:sz w:val="20"/>
      </w:rPr>
      <w:t>Ejido</w:t>
    </w:r>
    <w:r>
      <w:rPr>
        <w:b/>
        <w:spacing w:val="-2"/>
        <w:sz w:val="20"/>
      </w:rPr>
      <w:t xml:space="preserve"> </w:t>
    </w:r>
    <w:r>
      <w:rPr>
        <w:b/>
        <w:sz w:val="20"/>
      </w:rPr>
      <w:t>La</w:t>
    </w:r>
    <w:r>
      <w:rPr>
        <w:b/>
        <w:spacing w:val="4"/>
        <w:sz w:val="20"/>
      </w:rPr>
      <w:t xml:space="preserve"> </w:t>
    </w:r>
    <w:r>
      <w:rPr>
        <w:b/>
        <w:sz w:val="20"/>
      </w:rPr>
      <w:t>Escondida,</w:t>
    </w:r>
    <w:r>
      <w:rPr>
        <w:b/>
        <w:spacing w:val="-4"/>
        <w:sz w:val="20"/>
      </w:rPr>
      <w:t xml:space="preserve"> </w:t>
    </w:r>
    <w:r>
      <w:rPr>
        <w:b/>
        <w:sz w:val="20"/>
      </w:rPr>
      <w:t>Col.</w:t>
    </w:r>
    <w:r>
      <w:rPr>
        <w:b/>
        <w:spacing w:val="-1"/>
        <w:sz w:val="20"/>
      </w:rPr>
      <w:t xml:space="preserve"> </w:t>
    </w:r>
    <w:r>
      <w:rPr>
        <w:b/>
        <w:sz w:val="20"/>
      </w:rPr>
      <w:t>Cd.</w:t>
    </w:r>
    <w:r>
      <w:rPr>
        <w:b/>
        <w:spacing w:val="2"/>
        <w:sz w:val="20"/>
      </w:rPr>
      <w:t xml:space="preserve"> </w:t>
    </w:r>
    <w:r>
      <w:rPr>
        <w:b/>
        <w:sz w:val="20"/>
      </w:rPr>
      <w:t>Administrativa,</w:t>
    </w:r>
    <w:r>
      <w:rPr>
        <w:b/>
        <w:spacing w:val="-4"/>
        <w:sz w:val="20"/>
      </w:rPr>
      <w:t xml:space="preserve"> </w:t>
    </w:r>
    <w:r>
      <w:rPr>
        <w:b/>
        <w:sz w:val="20"/>
      </w:rPr>
      <w:t>Zacatecas,</w:t>
    </w:r>
    <w:r>
      <w:rPr>
        <w:b/>
        <w:spacing w:val="-3"/>
        <w:sz w:val="20"/>
      </w:rPr>
      <w:t xml:space="preserve"> </w:t>
    </w:r>
    <w:r>
      <w:rPr>
        <w:b/>
        <w:sz w:val="20"/>
      </w:rPr>
      <w:t>Zac.,</w:t>
    </w:r>
    <w:r>
      <w:rPr>
        <w:b/>
        <w:spacing w:val="-1"/>
        <w:sz w:val="20"/>
      </w:rPr>
      <w:t xml:space="preserve"> </w:t>
    </w:r>
    <w:r>
      <w:rPr>
        <w:b/>
        <w:sz w:val="20"/>
      </w:rPr>
      <w:t>C.P.</w:t>
    </w:r>
    <w:r>
      <w:rPr>
        <w:b/>
        <w:spacing w:val="-2"/>
        <w:sz w:val="20"/>
      </w:rPr>
      <w:t xml:space="preserve"> </w:t>
    </w:r>
    <w:r>
      <w:rPr>
        <w:b/>
        <w:sz w:val="20"/>
      </w:rPr>
      <w:t>98160</w:t>
    </w:r>
    <w:r>
      <w:rPr>
        <w:b/>
        <w:spacing w:val="-52"/>
        <w:sz w:val="20"/>
      </w:rPr>
      <w:t xml:space="preserve"> </w:t>
    </w:r>
    <w:r>
      <w:rPr>
        <w:b/>
        <w:sz w:val="20"/>
      </w:rPr>
      <w:t>Tel/Fax:</w:t>
    </w:r>
    <w:r>
      <w:rPr>
        <w:b/>
        <w:spacing w:val="-1"/>
        <w:sz w:val="20"/>
      </w:rPr>
      <w:t xml:space="preserve"> </w:t>
    </w:r>
    <w:r>
      <w:rPr>
        <w:b/>
        <w:sz w:val="20"/>
      </w:rPr>
      <w:t>4929242419</w:t>
    </w:r>
    <w:r>
      <w:rPr>
        <w:b/>
        <w:spacing w:val="1"/>
        <w:sz w:val="20"/>
      </w:rPr>
      <w:t xml:space="preserve"> </w:t>
    </w:r>
    <w:r>
      <w:rPr>
        <w:b/>
        <w:sz w:val="20"/>
      </w:rPr>
      <w:t>y</w:t>
    </w:r>
    <w:r>
      <w:rPr>
        <w:b/>
        <w:spacing w:val="-1"/>
        <w:sz w:val="20"/>
      </w:rPr>
      <w:t xml:space="preserve"> </w:t>
    </w:r>
    <w:r>
      <w:rPr>
        <w:b/>
        <w:sz w:val="20"/>
      </w:rPr>
      <w:t>4929255998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C7D09" w14:textId="77777777" w:rsidR="00B726A9" w:rsidRDefault="00B726A9" w:rsidP="00334FC3">
      <w:r>
        <w:separator/>
      </w:r>
    </w:p>
  </w:footnote>
  <w:footnote w:type="continuationSeparator" w:id="0">
    <w:p w14:paraId="05E201CF" w14:textId="77777777" w:rsidR="00B726A9" w:rsidRDefault="00B726A9" w:rsidP="00334F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jc w:val="center"/>
      <w:tblLook w:val="04A0" w:firstRow="1" w:lastRow="0" w:firstColumn="1" w:lastColumn="0" w:noHBand="0" w:noVBand="1"/>
    </w:tblPr>
    <w:tblGrid>
      <w:gridCol w:w="9054"/>
    </w:tblGrid>
    <w:tr w:rsidR="000F1E00" w14:paraId="1519E99A" w14:textId="77777777" w:rsidTr="000F1E00">
      <w:trPr>
        <w:jc w:val="center"/>
      </w:trPr>
      <w:tc>
        <w:tcPr>
          <w:tcW w:w="9054" w:type="dxa"/>
          <w:tcBorders>
            <w:top w:val="nil"/>
            <w:left w:val="nil"/>
            <w:bottom w:val="nil"/>
            <w:right w:val="nil"/>
          </w:tcBorders>
        </w:tcPr>
        <w:tbl>
          <w:tblPr>
            <w:tblW w:w="8838" w:type="dxa"/>
            <w:tblBorders>
              <w:top w:val="nil"/>
              <w:left w:val="nil"/>
              <w:bottom w:val="single" w:sz="8" w:space="0" w:color="843C0B"/>
              <w:right w:val="nil"/>
              <w:insideH w:val="nil"/>
              <w:insideV w:val="nil"/>
            </w:tblBorders>
            <w:tblLook w:val="0400" w:firstRow="0" w:lastRow="0" w:firstColumn="0" w:lastColumn="0" w:noHBand="0" w:noVBand="1"/>
          </w:tblPr>
          <w:tblGrid>
            <w:gridCol w:w="1067"/>
            <w:gridCol w:w="6115"/>
            <w:gridCol w:w="1656"/>
          </w:tblGrid>
          <w:tr w:rsidR="000F1E00" w14:paraId="287F7056" w14:textId="77777777" w:rsidTr="0070547D">
            <w:tc>
              <w:tcPr>
                <w:tcW w:w="1067" w:type="dxa"/>
              </w:tcPr>
              <w:p w14:paraId="274CBFE3" w14:textId="77777777" w:rsidR="000F1E00" w:rsidRDefault="000F1E00" w:rsidP="000F1E00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center" w:pos="4419"/>
                    <w:tab w:val="right" w:pos="8838"/>
                  </w:tabs>
                  <w:ind w:right="-376"/>
                  <w:rPr>
                    <w:rFonts w:ascii="Calibri" w:eastAsia="Calibri" w:hAnsi="Calibri" w:cs="Calibri"/>
                    <w:b/>
                    <w:color w:val="000000"/>
                    <w:sz w:val="26"/>
                    <w:szCs w:val="26"/>
                  </w:rPr>
                </w:pPr>
                <w:r>
                  <w:rPr>
                    <w:b/>
                    <w:noProof/>
                    <w:color w:val="000000"/>
                    <w:sz w:val="26"/>
                    <w:szCs w:val="26"/>
                  </w:rPr>
                  <w:drawing>
                    <wp:inline distT="0" distB="0" distL="0" distR="0" wp14:anchorId="3C05571C" wp14:editId="33EB9E3F">
                      <wp:extent cx="521335" cy="887095"/>
                      <wp:effectExtent l="0" t="0" r="0" b="0"/>
                      <wp:docPr id="1" name="image1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21335" cy="887095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6115" w:type="dxa"/>
              </w:tcPr>
              <w:p w14:paraId="466A238F" w14:textId="77777777" w:rsidR="000F1E00" w:rsidRDefault="000F1E00" w:rsidP="000F1E00"/>
              <w:p w14:paraId="70E2F259" w14:textId="77777777" w:rsidR="000F1E00" w:rsidRDefault="000F1E00" w:rsidP="000F1E00"/>
              <w:p w14:paraId="4D783286" w14:textId="77777777" w:rsidR="000F1E00" w:rsidRDefault="000F1E00" w:rsidP="000F1E00">
                <w:pPr>
                  <w:jc w:val="center"/>
                </w:pPr>
                <w:r>
                  <w:t>Instituto Politécnico Nacional</w:t>
                </w:r>
              </w:p>
              <w:p w14:paraId="173711A1" w14:textId="77777777" w:rsidR="000F1E00" w:rsidRDefault="000F1E00" w:rsidP="000F1E00">
                <w:pPr>
                  <w:jc w:val="center"/>
                </w:pPr>
                <w:r>
                  <w:t>Unidad Profesional Interdisciplinaria de Ingeniería campus Zacatecas</w:t>
                </w:r>
              </w:p>
              <w:p w14:paraId="36AC03E3" w14:textId="77777777" w:rsidR="000F1E00" w:rsidRDefault="000F1E00" w:rsidP="000F1E00"/>
              <w:p w14:paraId="001DF05D" w14:textId="1CD8CC8F" w:rsidR="000F1E00" w:rsidRPr="00E241E5" w:rsidRDefault="00E241E5" w:rsidP="00E241E5">
                <w:pPr>
                  <w:pStyle w:val="Encabezado"/>
                  <w:jc w:val="center"/>
                  <w:rPr>
                    <w:b/>
                    <w:bCs/>
                    <w:sz w:val="36"/>
                    <w:szCs w:val="36"/>
                  </w:rPr>
                </w:pPr>
                <w:r>
                  <w:rPr>
                    <w:b/>
                    <w:bCs/>
                    <w:sz w:val="36"/>
                    <w:szCs w:val="36"/>
                  </w:rPr>
                  <w:t>Matriz de Trazabilidad</w:t>
                </w:r>
              </w:p>
            </w:tc>
            <w:tc>
              <w:tcPr>
                <w:tcW w:w="1656" w:type="dxa"/>
              </w:tcPr>
              <w:p w14:paraId="179ACB8C" w14:textId="77777777" w:rsidR="000F1E00" w:rsidRDefault="000F1E00" w:rsidP="000F1E00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center" w:pos="4419"/>
                    <w:tab w:val="right" w:pos="8838"/>
                  </w:tabs>
                  <w:ind w:right="-376"/>
                  <w:rPr>
                    <w:rFonts w:ascii="Calibri" w:eastAsia="Calibri" w:hAnsi="Calibri" w:cs="Calibri"/>
                    <w:b/>
                    <w:color w:val="000000"/>
                    <w:sz w:val="26"/>
                    <w:szCs w:val="26"/>
                  </w:rPr>
                </w:pPr>
                <w:r>
                  <w:rPr>
                    <w:b/>
                    <w:noProof/>
                    <w:color w:val="000000"/>
                    <w:sz w:val="26"/>
                    <w:szCs w:val="26"/>
                  </w:rPr>
                  <w:drawing>
                    <wp:inline distT="0" distB="0" distL="0" distR="0" wp14:anchorId="71229EE4" wp14:editId="58368005">
                      <wp:extent cx="893445" cy="907415"/>
                      <wp:effectExtent l="0" t="0" r="0" b="0"/>
                      <wp:docPr id="4" name="image2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93445" cy="907415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718D797F" w14:textId="2F6260F8" w:rsidR="000F1E00" w:rsidRDefault="000F1E00">
          <w:pPr>
            <w:pStyle w:val="Encabezado"/>
          </w:pPr>
        </w:p>
      </w:tc>
    </w:tr>
  </w:tbl>
  <w:p w14:paraId="5441A88E" w14:textId="3913F8F3" w:rsidR="00334FC3" w:rsidRDefault="00334FC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17AC7"/>
    <w:multiLevelType w:val="hybridMultilevel"/>
    <w:tmpl w:val="EBA4A7FC"/>
    <w:lvl w:ilvl="0" w:tplc="080A000F">
      <w:start w:val="1"/>
      <w:numFmt w:val="decimal"/>
      <w:lvlText w:val="%1."/>
      <w:lvlJc w:val="left"/>
      <w:pPr>
        <w:ind w:left="2509" w:hanging="360"/>
      </w:pPr>
    </w:lvl>
    <w:lvl w:ilvl="1" w:tplc="080A0019" w:tentative="1">
      <w:start w:val="1"/>
      <w:numFmt w:val="lowerLetter"/>
      <w:lvlText w:val="%2."/>
      <w:lvlJc w:val="left"/>
      <w:pPr>
        <w:ind w:left="3229" w:hanging="360"/>
      </w:pPr>
    </w:lvl>
    <w:lvl w:ilvl="2" w:tplc="080A001B" w:tentative="1">
      <w:start w:val="1"/>
      <w:numFmt w:val="lowerRoman"/>
      <w:lvlText w:val="%3."/>
      <w:lvlJc w:val="right"/>
      <w:pPr>
        <w:ind w:left="3949" w:hanging="180"/>
      </w:pPr>
    </w:lvl>
    <w:lvl w:ilvl="3" w:tplc="080A000F" w:tentative="1">
      <w:start w:val="1"/>
      <w:numFmt w:val="decimal"/>
      <w:lvlText w:val="%4."/>
      <w:lvlJc w:val="left"/>
      <w:pPr>
        <w:ind w:left="4669" w:hanging="360"/>
      </w:pPr>
    </w:lvl>
    <w:lvl w:ilvl="4" w:tplc="080A0019" w:tentative="1">
      <w:start w:val="1"/>
      <w:numFmt w:val="lowerLetter"/>
      <w:lvlText w:val="%5."/>
      <w:lvlJc w:val="left"/>
      <w:pPr>
        <w:ind w:left="5389" w:hanging="360"/>
      </w:pPr>
    </w:lvl>
    <w:lvl w:ilvl="5" w:tplc="080A001B" w:tentative="1">
      <w:start w:val="1"/>
      <w:numFmt w:val="lowerRoman"/>
      <w:lvlText w:val="%6."/>
      <w:lvlJc w:val="right"/>
      <w:pPr>
        <w:ind w:left="6109" w:hanging="180"/>
      </w:pPr>
    </w:lvl>
    <w:lvl w:ilvl="6" w:tplc="080A000F" w:tentative="1">
      <w:start w:val="1"/>
      <w:numFmt w:val="decimal"/>
      <w:lvlText w:val="%7."/>
      <w:lvlJc w:val="left"/>
      <w:pPr>
        <w:ind w:left="6829" w:hanging="360"/>
      </w:pPr>
    </w:lvl>
    <w:lvl w:ilvl="7" w:tplc="080A0019" w:tentative="1">
      <w:start w:val="1"/>
      <w:numFmt w:val="lowerLetter"/>
      <w:lvlText w:val="%8."/>
      <w:lvlJc w:val="left"/>
      <w:pPr>
        <w:ind w:left="7549" w:hanging="360"/>
      </w:pPr>
    </w:lvl>
    <w:lvl w:ilvl="8" w:tplc="080A001B" w:tentative="1">
      <w:start w:val="1"/>
      <w:numFmt w:val="lowerRoman"/>
      <w:lvlText w:val="%9."/>
      <w:lvlJc w:val="right"/>
      <w:pPr>
        <w:ind w:left="8269" w:hanging="180"/>
      </w:pPr>
    </w:lvl>
  </w:abstractNum>
  <w:abstractNum w:abstractNumId="1" w15:restartNumberingAfterBreak="0">
    <w:nsid w:val="294913D2"/>
    <w:multiLevelType w:val="hybridMultilevel"/>
    <w:tmpl w:val="2C4E07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FF08ED"/>
    <w:multiLevelType w:val="hybridMultilevel"/>
    <w:tmpl w:val="554254C2"/>
    <w:lvl w:ilvl="0" w:tplc="080A000F">
      <w:start w:val="1"/>
      <w:numFmt w:val="decimal"/>
      <w:lvlText w:val="%1."/>
      <w:lvlJc w:val="left"/>
      <w:pPr>
        <w:ind w:left="1427" w:hanging="360"/>
      </w:pPr>
    </w:lvl>
    <w:lvl w:ilvl="1" w:tplc="080A0019" w:tentative="1">
      <w:start w:val="1"/>
      <w:numFmt w:val="lowerLetter"/>
      <w:lvlText w:val="%2."/>
      <w:lvlJc w:val="left"/>
      <w:pPr>
        <w:ind w:left="2147" w:hanging="360"/>
      </w:pPr>
    </w:lvl>
    <w:lvl w:ilvl="2" w:tplc="080A001B" w:tentative="1">
      <w:start w:val="1"/>
      <w:numFmt w:val="lowerRoman"/>
      <w:lvlText w:val="%3."/>
      <w:lvlJc w:val="right"/>
      <w:pPr>
        <w:ind w:left="2867" w:hanging="180"/>
      </w:pPr>
    </w:lvl>
    <w:lvl w:ilvl="3" w:tplc="080A000F" w:tentative="1">
      <w:start w:val="1"/>
      <w:numFmt w:val="decimal"/>
      <w:lvlText w:val="%4."/>
      <w:lvlJc w:val="left"/>
      <w:pPr>
        <w:ind w:left="3587" w:hanging="360"/>
      </w:pPr>
    </w:lvl>
    <w:lvl w:ilvl="4" w:tplc="080A0019" w:tentative="1">
      <w:start w:val="1"/>
      <w:numFmt w:val="lowerLetter"/>
      <w:lvlText w:val="%5."/>
      <w:lvlJc w:val="left"/>
      <w:pPr>
        <w:ind w:left="4307" w:hanging="360"/>
      </w:pPr>
    </w:lvl>
    <w:lvl w:ilvl="5" w:tplc="080A001B" w:tentative="1">
      <w:start w:val="1"/>
      <w:numFmt w:val="lowerRoman"/>
      <w:lvlText w:val="%6."/>
      <w:lvlJc w:val="right"/>
      <w:pPr>
        <w:ind w:left="5027" w:hanging="180"/>
      </w:pPr>
    </w:lvl>
    <w:lvl w:ilvl="6" w:tplc="080A000F" w:tentative="1">
      <w:start w:val="1"/>
      <w:numFmt w:val="decimal"/>
      <w:lvlText w:val="%7."/>
      <w:lvlJc w:val="left"/>
      <w:pPr>
        <w:ind w:left="5747" w:hanging="360"/>
      </w:pPr>
    </w:lvl>
    <w:lvl w:ilvl="7" w:tplc="080A0019" w:tentative="1">
      <w:start w:val="1"/>
      <w:numFmt w:val="lowerLetter"/>
      <w:lvlText w:val="%8."/>
      <w:lvlJc w:val="left"/>
      <w:pPr>
        <w:ind w:left="6467" w:hanging="360"/>
      </w:pPr>
    </w:lvl>
    <w:lvl w:ilvl="8" w:tplc="080A001B" w:tentative="1">
      <w:start w:val="1"/>
      <w:numFmt w:val="lowerRoman"/>
      <w:lvlText w:val="%9."/>
      <w:lvlJc w:val="right"/>
      <w:pPr>
        <w:ind w:left="7187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9B1"/>
    <w:rsid w:val="00045CB8"/>
    <w:rsid w:val="000649B1"/>
    <w:rsid w:val="000C4E1B"/>
    <w:rsid w:val="000F1E00"/>
    <w:rsid w:val="00334FC3"/>
    <w:rsid w:val="00370A29"/>
    <w:rsid w:val="004F0F8D"/>
    <w:rsid w:val="00525903"/>
    <w:rsid w:val="005E76F3"/>
    <w:rsid w:val="00622158"/>
    <w:rsid w:val="00642FFE"/>
    <w:rsid w:val="006464E2"/>
    <w:rsid w:val="00653FC0"/>
    <w:rsid w:val="00744EED"/>
    <w:rsid w:val="00750472"/>
    <w:rsid w:val="00767805"/>
    <w:rsid w:val="007B3A94"/>
    <w:rsid w:val="00850639"/>
    <w:rsid w:val="00925CB8"/>
    <w:rsid w:val="0096273E"/>
    <w:rsid w:val="00981CC5"/>
    <w:rsid w:val="00AB140D"/>
    <w:rsid w:val="00B579D8"/>
    <w:rsid w:val="00B726A9"/>
    <w:rsid w:val="00BB6BDA"/>
    <w:rsid w:val="00CA24F4"/>
    <w:rsid w:val="00CE2976"/>
    <w:rsid w:val="00E044A1"/>
    <w:rsid w:val="00E241E5"/>
    <w:rsid w:val="00E5295B"/>
    <w:rsid w:val="00E84C66"/>
    <w:rsid w:val="00EB11CE"/>
    <w:rsid w:val="00F203BE"/>
    <w:rsid w:val="00FC4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463BE0"/>
  <w15:docId w15:val="{8DF67CC4-144D-478B-BA87-0A213ED92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47" w:lineRule="auto"/>
    </w:pPr>
    <w:rPr>
      <w:rFonts w:ascii="Arial" w:eastAsia="Arial" w:hAnsi="Arial" w:cs="Arial"/>
      <w:color w:val="000000"/>
      <w:sz w:val="20"/>
      <w:lang w:val="es-ES"/>
    </w:rPr>
  </w:style>
  <w:style w:type="paragraph" w:styleId="Ttulo1">
    <w:name w:val="heading 1"/>
    <w:basedOn w:val="Normal"/>
    <w:uiPriority w:val="9"/>
    <w:qFormat/>
    <w:pPr>
      <w:keepNext/>
      <w:spacing w:line="298" w:lineRule="exact" w:before="100" w:after="100"/>
      <w:ind w:left="0" w:firstLine="0"/>
      <w:outlineLvl w:val="0"/>
    </w:pPr>
    <w:rPr>
      <w:rFonts w:ascii="Arial" w:hAnsi="Arial"/>
      <w:b/>
      <w:bCs/>
      <w:i w:val="0"/>
      <w:color w:val="000000"/>
      <w:sz w:val="24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keepNext/>
      <w:spacing w:before="100" w:after="100"/>
      <w:ind w:left="0" w:right="1891" w:firstLine="0"/>
      <w:jc w:val="center"/>
    </w:pPr>
    <w:rPr>
      <w:rFonts w:ascii="Arial" w:hAnsi="Arial"/>
      <w:b/>
      <w:i w:val="0"/>
      <w:iCs/>
      <w:color w:val="000000"/>
      <w:sz w:val="34"/>
      <w:szCs w:val="3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34FC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34FC3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34FC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34FC3"/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39"/>
    <w:rsid w:val="00334F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normal">
    <w:name w:val="Texto normal"/>
    <w:basedOn w:val="Normal"/>
    <w:link w:val="TextonormalCar"/>
    <w:qFormat/>
    <w:rsid w:val="00BB6BDA"/>
    <w:pPr>
      <w:widowControl/>
      <w:autoSpaceDE/>
      <w:autoSpaceDN/>
      <w:spacing w:after="160" w:line="360" w:lineRule="auto"/>
      <w:jc w:val="both"/>
    </w:pPr>
    <w:rPr>
      <w:rFonts w:ascii="Times New Roman" w:eastAsiaTheme="minorHAnsi" w:hAnsi="Times New Roman" w:cstheme="minorBidi"/>
      <w:sz w:val="24"/>
      <w:lang w:val="es-MX"/>
    </w:rPr>
  </w:style>
  <w:style w:type="character" w:customStyle="1" w:styleId="TextonormalCar">
    <w:name w:val="Texto normal Car"/>
    <w:basedOn w:val="Fuentedeprrafopredeter"/>
    <w:link w:val="Textonormal"/>
    <w:rsid w:val="00BB6BDA"/>
    <w:rPr>
      <w:rFonts w:ascii="Times New Roman" w:hAnsi="Times New Roman"/>
      <w:sz w:val="24"/>
      <w:lang w:val="es-MX"/>
    </w:rPr>
  </w:style>
  <w:style w:type="paragraph" w:customStyle="1" w:styleId="Heading2">
    <w:name w:val="heading 2"/>
    <w:pPr>
      <w:keepNext/>
      <w:spacing w:before="100" w:after="100"/>
      <w:ind w:left="0" w:firstLine="0"/>
    </w:pPr>
    <w:rPr>
      <w:rFonts w:ascii="Arial" w:hAnsi="Arial"/>
      <w:b/>
      <w:i w:val="0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9633B99313E9948AF14D8748BBA5AF2" ma:contentTypeVersion="10" ma:contentTypeDescription="Crear nuevo documento." ma:contentTypeScope="" ma:versionID="e47342e699c1d65aeb6578624230a853">
  <xsd:schema xmlns:xsd="http://www.w3.org/2001/XMLSchema" xmlns:xs="http://www.w3.org/2001/XMLSchema" xmlns:p="http://schemas.microsoft.com/office/2006/metadata/properties" xmlns:ns2="5d1172d0-9ce5-4f73-8f36-e2a21238338d" xmlns:ns3="22689866-8a08-47f0-95fb-a8825df03bc6" targetNamespace="http://schemas.microsoft.com/office/2006/metadata/properties" ma:root="true" ma:fieldsID="7a5f45871b4413dce81766e212b76836" ns2:_="" ns3:_="">
    <xsd:import namespace="5d1172d0-9ce5-4f73-8f36-e2a21238338d"/>
    <xsd:import namespace="22689866-8a08-47f0-95fb-a8825df03b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1172d0-9ce5-4f73-8f36-e2a2123833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689866-8a08-47f0-95fb-a8825df03bc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63EB52A-1F0E-47C4-8E6B-9A4056809358}"/>
</file>

<file path=customXml/itemProps2.xml><?xml version="1.0" encoding="utf-8"?>
<ds:datastoreItem xmlns:ds="http://schemas.openxmlformats.org/officeDocument/2006/customXml" ds:itemID="{F15F16B9-CF04-4129-95B6-CEC2308A70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8C4D63D-FD5D-49DB-9CE9-CCD7131A489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79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Hector Alejandro Acuna Cid</dc:creator>
  <cp:lastModifiedBy>Hector Alejandro Acuna Cid</cp:lastModifiedBy>
  <cp:revision>6</cp:revision>
  <cp:lastPrinted>2021-02-26T18:56:00Z</cp:lastPrinted>
  <dcterms:created xsi:type="dcterms:W3CDTF">2021-08-19T20:38:00Z</dcterms:created>
  <dcterms:modified xsi:type="dcterms:W3CDTF">2021-08-19T21:18:00Z</dcterms:modified>
  <dc:title>Matriz de trazabilidad para la localización de MCC</dc:title>
  <dc:subject>Seis objetivos particulares y diez requerimientos con un objetivo principal por fila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2020-06-25T00:00:00Z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2021-02-26T00:00:00Z</vt:filetime>
  </property>
  <property fmtid="{D5CDD505-2E9C-101B-9397-08002B2CF9AE}" pid="5" name="ContentTypeId">
    <vt:lpwstr>0x01010059633B99313E9948AF14D8748BBA5AF2</vt:lpwstr>
  </property>
</Properties>
</file>