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GARDE</w:t>
      </w:r>
    </w:p>
    <w:p>
      <w:pPr>
        <w:pStyle w:val="Date"/>
      </w:pPr>
      <w:r>
        <w:t xml:space="preserve">May,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bout-garde"/>
    <w:p>
      <w:pPr>
        <w:pStyle w:val="Heading1"/>
      </w:pPr>
      <w:r>
        <w:t xml:space="preserve">About GARDE</w:t>
      </w:r>
    </w:p>
    <w:p>
      <w:pPr>
        <w:pStyle w:val="FirstParagraph"/>
      </w:pPr>
      <w:r>
        <w:t xml:space="preserve">This site has been created to provide cancer researchers and genetic counselors with</w:t>
      </w:r>
      <w:r>
        <w:t xml:space="preserve"> </w:t>
      </w:r>
      <w:r>
        <w:t xml:space="preserve">instruction about GARDE, a population health management application that identifies</w:t>
      </w:r>
      <w:r>
        <w:t xml:space="preserve"> </w:t>
      </w:r>
      <w:r>
        <w:t xml:space="preserve">individuals who meet criteria for genetic testing.</w:t>
      </w:r>
    </w:p>
    <w:p>
      <w:pPr>
        <w:pStyle w:val="BodyText"/>
      </w:pPr>
      <w:r>
        <w:t xml:space="preserve">GARDE’s architecture is described to facilitate communication and requirements</w:t>
      </w:r>
      <w:r>
        <w:t xml:space="preserve"> </w:t>
      </w:r>
      <w:r>
        <w:t xml:space="preserve">for installation and deployment, and user-level instructions are provided to</w:t>
      </w:r>
      <w:r>
        <w:t xml:space="preserve"> </w:t>
      </w:r>
      <w:r>
        <w:t xml:space="preserve">facilitate GARDE configuration and operation.</w:t>
      </w:r>
    </w:p>
    <w:p>
      <w:pPr>
        <w:pStyle w:val="BodyText"/>
      </w:pPr>
      <w:r>
        <w:rPr>
          <w:bCs/>
          <w:b/>
        </w:rPr>
        <w:t xml:space="preserve">Important Information about GARDE</w:t>
      </w:r>
    </w:p>
    <w:p>
      <w:pPr>
        <w:numPr>
          <w:ilvl w:val="0"/>
          <w:numId w:val="1001"/>
        </w:numPr>
      </w:pPr>
      <w:r>
        <w:t xml:space="preserve">The deployment hosting strategy is determined by the HCS to meet</w:t>
      </w:r>
      <w:r>
        <w:t xml:space="preserve"> </w:t>
      </w:r>
      <w:r>
        <w:t xml:space="preserve">their unique needs and resources. GARDE staff are available to</w:t>
      </w:r>
      <w:r>
        <w:t xml:space="preserve"> </w:t>
      </w:r>
      <w:r>
        <w:t xml:space="preserve">consult on this decision as desired.</w:t>
      </w:r>
    </w:p>
    <w:p>
      <w:pPr>
        <w:numPr>
          <w:ilvl w:val="0"/>
          <w:numId w:val="1001"/>
        </w:numPr>
      </w:pPr>
      <w:r>
        <w:t xml:space="preserve">GARDE does NOT require that patient data leave the HCS. Regardless</w:t>
      </w:r>
      <w:r>
        <w:t xml:space="preserve"> </w:t>
      </w:r>
      <w:r>
        <w:t xml:space="preserve">of deployment strategy, the entire approach, including all aspects</w:t>
      </w:r>
      <w:r>
        <w:t xml:space="preserve"> </w:t>
      </w:r>
      <w:r>
        <w:t xml:space="preserve">of the GARDE architecture, is HIPAA compliant for handling PHI.</w:t>
      </w:r>
    </w:p>
    <w:p>
      <w:pPr>
        <w:numPr>
          <w:ilvl w:val="0"/>
          <w:numId w:val="1001"/>
        </w:numPr>
      </w:pPr>
      <w:r>
        <w:t xml:space="preserve">GARDE has successfully undergone security review and approval at 6</w:t>
      </w:r>
      <w:r>
        <w:t xml:space="preserve"> </w:t>
      </w:r>
      <w:r>
        <w:t xml:space="preserve">academic medical centers across the US.</w:t>
      </w:r>
    </w:p>
    <w:p>
      <w:pPr>
        <w:pStyle w:val="FirstParagraph"/>
      </w:pPr>
      <w:r>
        <w:rPr>
          <w:bCs/>
          <w:b/>
        </w:rPr>
        <w:t xml:space="preserve">Previous GARDE implementation</w:t>
      </w:r>
    </w:p>
    <w:p>
      <w:pPr>
        <w:pStyle w:val="BodyText"/>
      </w:pPr>
      <w:r>
        <w:t xml:space="preserve">GARDE supported the Broadening the Reach, Impact, and Delivery of</w:t>
      </w:r>
      <w:r>
        <w:t xml:space="preserve"> </w:t>
      </w:r>
      <w:r>
        <w:t xml:space="preserve">Genetic Services (BRIDGE) randomized controlled trial, which compared</w:t>
      </w:r>
      <w:r>
        <w:t xml:space="preserve"> </w:t>
      </w:r>
      <w:r>
        <w:t xml:space="preserve">the effectiveness of chatbot-based delivery of cancer genetic services</w:t>
      </w:r>
      <w:r>
        <w:t xml:space="preserve"> </w:t>
      </w:r>
      <w:r>
        <w:t xml:space="preserve">compared to standard care (SOC) among 3073 unaffected primary care</w:t>
      </w:r>
      <w:r>
        <w:t xml:space="preserve"> </w:t>
      </w:r>
      <w:r>
        <w:t xml:space="preserve">patients in two large healthcare systems.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The study found that</w:t>
      </w:r>
      <w:r>
        <w:t xml:space="preserve"> </w:t>
      </w:r>
      <w:r>
        <w:t xml:space="preserve">chatbots are equivalent to SOC in terms of uptake of pretest cancer</w:t>
      </w:r>
      <w:r>
        <w:t xml:space="preserve"> </w:t>
      </w:r>
      <w:r>
        <w:t xml:space="preserve">genetic services and genetic testing. BRIDGE results suggest that</w:t>
      </w:r>
      <w:r>
        <w:t xml:space="preserve"> </w:t>
      </w:r>
      <w:r>
        <w:t xml:space="preserve">chatbots offer a scalable and secure way to deliver genetic services,</w:t>
      </w:r>
      <w:r>
        <w:t xml:space="preserve"> </w:t>
      </w:r>
      <w:r>
        <w:t xml:space="preserve">allowing genetic counselors to focus on more specialized care.</w:t>
      </w:r>
    </w:p>
    <w:bookmarkEnd w:id="22"/>
    <w:bookmarkStart w:id="23" w:name="what-is-gar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What is GARDE?</w:t>
      </w:r>
    </w:p>
    <w:p>
      <w:pPr>
        <w:pStyle w:val="FirstParagraph"/>
      </w:pPr>
      <w:r>
        <w:t xml:space="preserve">GARDE is an open-source software platform, funded by several grants from</w:t>
      </w:r>
      <w:r>
        <w:t xml:space="preserve"> </w:t>
      </w:r>
      <w:r>
        <w:t xml:space="preserve">the National Cancer Institute, that enables population-level risk</w:t>
      </w:r>
      <w:r>
        <w:t xml:space="preserve"> </w:t>
      </w:r>
      <w:r>
        <w:t xml:space="preserve">assessment and genetic testing for conditions (e.g., cancer, familial</w:t>
      </w:r>
      <w:r>
        <w:t xml:space="preserve"> </w:t>
      </w:r>
      <w:r>
        <w:t xml:space="preserve">hypercholesterolemia) for which there are guidelines that support</w:t>
      </w:r>
      <w:r>
        <w:t xml:space="preserve"> </w:t>
      </w:r>
      <w:r>
        <w:t xml:space="preserve">genetic testing.</w:t>
      </w:r>
      <w:r>
        <w:t xml:space="preserve"> </w:t>
      </w:r>
      <w:r>
        <w:t xml:space="preserve">GARDE has two main components: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population-level risk assessment algorithms</w:t>
      </w:r>
      <w:r>
        <w:t xml:space="preserve"> </w:t>
      </w:r>
      <w:r>
        <w:t xml:space="preserve">that analyze patient data in the electronic</w:t>
      </w:r>
      <w:r>
        <w:t xml:space="preserve"> </w:t>
      </w:r>
      <w:r>
        <w:t xml:space="preserve">health record (EHR) to identify patients who meet criteria for genetic</w:t>
      </w:r>
      <w:r>
        <w:t xml:space="preserve"> </w:t>
      </w:r>
      <w:r>
        <w:t xml:space="preserve">testing (Figure 1); and</w:t>
      </w:r>
    </w:p>
    <w:p>
      <w:pPr>
        <w:pStyle w:val="FirstParagraph"/>
      </w:pPr>
    </w:p>
    <w:p>
      <w:pPr>
        <w:pStyle w:val="BodyText"/>
      </w:pPr>
      <w:r>
        <w:t xml:space="preserve">Figure 1. GARDE workflow.</w:t>
      </w:r>
    </w:p>
    <w:p>
      <w:pPr>
        <w:numPr>
          <w:ilvl w:val="0"/>
          <w:numId w:val="1003"/>
        </w:numPr>
        <w:pStyle w:val="Compact"/>
      </w:pPr>
      <w:r>
        <w:t xml:space="preserve">an automated</w:t>
      </w:r>
      <w:r>
        <w:t xml:space="preserve"> </w:t>
      </w:r>
      <w:r>
        <w:rPr>
          <w:bCs/>
          <w:b/>
        </w:rPr>
        <w:t xml:space="preserve">chatbot</w:t>
      </w:r>
      <w:r>
        <w:t xml:space="preserve"> </w:t>
      </w:r>
      <w:r>
        <w:t xml:space="preserve">for patient outreach, pretest</w:t>
      </w:r>
      <w:r>
        <w:t xml:space="preserve"> </w:t>
      </w:r>
      <w:r>
        <w:t xml:space="preserve">education, and access to genetic testing (Figure 2).</w:t>
      </w:r>
    </w:p>
    <w:p>
      <w:pPr>
        <w:pStyle w:val="FirstParagraph"/>
      </w:pPr>
    </w:p>
    <w:p>
      <w:pPr>
        <w:pStyle w:val="BodyText"/>
      </w:pPr>
      <w:r>
        <w:t xml:space="preserve">Figure 2. Chatbot example.</w:t>
      </w:r>
    </w:p>
    <w:p>
      <w:pPr>
        <w:pStyle w:val="BodyText"/>
      </w:pPr>
      <w:r>
        <w:t xml:space="preserve">GARDE uses an open architecture, external to the EHR, and is integrated with the EHR</w:t>
      </w:r>
      <w:r>
        <w:t xml:space="preserve"> </w:t>
      </w:r>
      <w:r>
        <w:t xml:space="preserve">through standards-based Web services.</w:t>
      </w:r>
    </w:p>
    <w:bookmarkEnd w:id="23"/>
    <w:bookmarkStart w:id="53" w:name="garde-implement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GARDE Implementation</w:t>
      </w:r>
    </w:p>
    <w:bookmarkStart w:id="25" w:name="governance-review-and-approva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Governance Review and Approval</w:t>
      </w:r>
    </w:p>
    <w:p>
      <w:pPr>
        <w:pStyle w:val="FirstParagraph"/>
      </w:pPr>
      <w:r>
        <w:t xml:space="preserve">Most healthcare systems (HCS) have a governance committee that reviews</w:t>
      </w:r>
      <w:r>
        <w:t xml:space="preserve"> </w:t>
      </w:r>
      <w:r>
        <w:t xml:space="preserve">proposals for implementation of information technology (IT) tools.</w:t>
      </w:r>
      <w:r>
        <w:t xml:space="preserve"> </w:t>
      </w:r>
      <w:r>
        <w:t xml:space="preserve">Undergoing governance review and obtaining approval is a critical early</w:t>
      </w:r>
      <w:r>
        <w:t xml:space="preserve"> </w:t>
      </w:r>
      <w:r>
        <w:t xml:space="preserve">step to take once you have decided to implement GARDE. The governance</w:t>
      </w:r>
      <w:r>
        <w:t xml:space="preserve"> </w:t>
      </w:r>
      <w:r>
        <w:t xml:space="preserve">review and approval processes vary across institutions, but the</w:t>
      </w:r>
      <w:r>
        <w:t xml:space="preserve"> </w:t>
      </w:r>
      <w:r>
        <w:t xml:space="preserve">overarching goals of governance reviews are typically to:</w:t>
      </w:r>
    </w:p>
    <w:p>
      <w:pPr>
        <w:numPr>
          <w:ilvl w:val="0"/>
          <w:numId w:val="1004"/>
        </w:numPr>
      </w:pPr>
      <w:r>
        <w:t xml:space="preserve">prioritize implementation/customization of EHR functionality</w:t>
      </w:r>
    </w:p>
    <w:p>
      <w:pPr>
        <w:numPr>
          <w:ilvl w:val="0"/>
          <w:numId w:val="1004"/>
        </w:numPr>
      </w:pPr>
      <w:r>
        <w:t xml:space="preserve">assess the potential impact of new/customized functionality on</w:t>
      </w:r>
      <w:r>
        <w:t xml:space="preserve"> </w:t>
      </w:r>
      <w:r>
        <w:t xml:space="preserve">existing clinical information systems, clinicians and patients</w:t>
      </w:r>
    </w:p>
    <w:p>
      <w:pPr>
        <w:numPr>
          <w:ilvl w:val="0"/>
          <w:numId w:val="1004"/>
        </w:numPr>
      </w:pPr>
      <w:r>
        <w:t xml:space="preserve">assess the effort needed to implement/customize the EHR</w:t>
      </w:r>
      <w:r>
        <w:t xml:space="preserve"> </w:t>
      </w:r>
      <w:r>
        <w:t xml:space="preserve">functionality</w:t>
      </w:r>
    </w:p>
    <w:p>
      <w:pPr>
        <w:numPr>
          <w:ilvl w:val="0"/>
          <w:numId w:val="1004"/>
        </w:numPr>
      </w:pPr>
      <w:r>
        <w:t xml:space="preserve">ensure there are robust channels for user feedback and the</w:t>
      </w:r>
      <w:r>
        <w:t xml:space="preserve"> </w:t>
      </w:r>
      <w:r>
        <w:t xml:space="preserve">dissemination of systems-related information to end users</w:t>
      </w:r>
    </w:p>
    <w:bookmarkStart w:id="24" w:name="additional-information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Additional information</w:t>
      </w:r>
    </w:p>
    <w:p>
      <w:pPr>
        <w:numPr>
          <w:ilvl w:val="0"/>
          <w:numId w:val="1005"/>
        </w:numPr>
      </w:pPr>
      <w:r>
        <w:t xml:space="preserve">GARDE is highly customizable. Resources necessary for a successful</w:t>
      </w:r>
      <w:r>
        <w:t xml:space="preserve"> </w:t>
      </w:r>
      <w:r>
        <w:t xml:space="preserve">implementation will vary depending on implementing HCS factors and</w:t>
      </w:r>
      <w:r>
        <w:t xml:space="preserve"> </w:t>
      </w:r>
      <w:r>
        <w:t xml:space="preserve">decisions, such as:</w:t>
      </w:r>
    </w:p>
    <w:p>
      <w:pPr>
        <w:numPr>
          <w:ilvl w:val="1"/>
          <w:numId w:val="1006"/>
        </w:numPr>
      </w:pPr>
      <w:r>
        <w:t xml:space="preserve">Local IT architecture</w:t>
      </w:r>
    </w:p>
    <w:p>
      <w:pPr>
        <w:numPr>
          <w:ilvl w:val="1"/>
          <w:numId w:val="1006"/>
        </w:numPr>
      </w:pPr>
      <w:r>
        <w:t xml:space="preserve">How is Population Health Management function accomplished? (e.g.</w:t>
      </w:r>
      <w:r>
        <w:t xml:space="preserve"> </w:t>
      </w:r>
      <w:r>
        <w:t xml:space="preserve">Epic? REDCap?)</w:t>
      </w:r>
    </w:p>
    <w:p>
      <w:pPr>
        <w:numPr>
          <w:ilvl w:val="1"/>
          <w:numId w:val="1006"/>
        </w:numPr>
      </w:pPr>
      <w:r>
        <w:t xml:space="preserve">How are patient outreach and education accomplished? (e.g.</w:t>
      </w:r>
      <w:r>
        <w:t xml:space="preserve"> </w:t>
      </w:r>
      <w:r>
        <w:t xml:space="preserve">Chatbot? Clinical staff?)</w:t>
      </w:r>
    </w:p>
    <w:p>
      <w:pPr>
        <w:numPr>
          <w:ilvl w:val="1"/>
          <w:numId w:val="1006"/>
        </w:numPr>
      </w:pPr>
      <w:r>
        <w:t xml:space="preserve">How often is the target population evaluated? (e.g. One time?</w:t>
      </w:r>
      <w:r>
        <w:t xml:space="preserve"> </w:t>
      </w:r>
      <w:r>
        <w:t xml:space="preserve">Weekly?)</w:t>
      </w:r>
    </w:p>
    <w:p>
      <w:pPr>
        <w:numPr>
          <w:ilvl w:val="1"/>
          <w:numId w:val="1006"/>
        </w:numPr>
      </w:pPr>
      <w:r>
        <w:t xml:space="preserve">Number of individuals in the target population for GARDE</w:t>
      </w:r>
      <w:r>
        <w:t xml:space="preserve"> </w:t>
      </w:r>
      <w:r>
        <w:t xml:space="preserve">evaluation (e.g. does the target population include all patients</w:t>
      </w:r>
      <w:r>
        <w:t xml:space="preserve"> </w:t>
      </w:r>
      <w:r>
        <w:t xml:space="preserve">seen within HCS? All patients who saw a HCS primary care</w:t>
      </w:r>
      <w:r>
        <w:t xml:space="preserve"> </w:t>
      </w:r>
      <w:r>
        <w:t xml:space="preserve">provider for an outpatient visit within past 36 months? Only</w:t>
      </w:r>
      <w:r>
        <w:t xml:space="preserve"> </w:t>
      </w:r>
      <w:r>
        <w:t xml:space="preserve">patients who have electronic patient portal account? Patient age</w:t>
      </w:r>
      <w:r>
        <w:t xml:space="preserve"> </w:t>
      </w:r>
      <w:r>
        <w:t xml:space="preserve">range? Individuals with or without target condition?).</w:t>
      </w:r>
    </w:p>
    <w:p>
      <w:pPr>
        <w:numPr>
          <w:ilvl w:val="1"/>
          <w:numId w:val="1006"/>
        </w:numPr>
      </w:pPr>
      <w:r>
        <w:t xml:space="preserve">Condition(s) that GARDE evaluates (e.g. hereditary cancer</w:t>
      </w:r>
      <w:r>
        <w:t xml:space="preserve"> </w:t>
      </w:r>
      <w:r>
        <w:t xml:space="preserve">syndrome(s)? Familial hypercholesterolemia?)</w:t>
      </w:r>
    </w:p>
    <w:p>
      <w:pPr>
        <w:numPr>
          <w:ilvl w:val="1"/>
          <w:numId w:val="1006"/>
        </w:numPr>
      </w:pPr>
      <w:r>
        <w:t xml:space="preserve">Local patient population characteristics (e.g. proportion with</w:t>
      </w:r>
      <w:r>
        <w:t xml:space="preserve"> </w:t>
      </w:r>
      <w:r>
        <w:t xml:space="preserve">commercial vs. government-supported health insurance vs.</w:t>
      </w:r>
      <w:r>
        <w:t xml:space="preserve"> </w:t>
      </w:r>
      <w:r>
        <w:t xml:space="preserve">uninsured? Proportion with Ashkenazi Jewish ancestry?)</w:t>
      </w:r>
    </w:p>
    <w:p>
      <w:pPr>
        <w:numPr>
          <w:ilvl w:val="1"/>
          <w:numId w:val="1006"/>
        </w:numPr>
      </w:pPr>
      <w:r>
        <w:t xml:space="preserve">Tasks necessary to implement GARDE (e.g. are all patients</w:t>
      </w:r>
      <w:r>
        <w:t xml:space="preserve"> </w:t>
      </w:r>
      <w:r>
        <w:t xml:space="preserve">considering genetic testing referred for genetic counseling?</w:t>
      </w:r>
      <w:r>
        <w:t xml:space="preserve"> </w:t>
      </w:r>
      <w:r>
        <w:t xml:space="preserve">will the implementation include both PHM algorithms and</w:t>
      </w:r>
      <w:r>
        <w:t xml:space="preserve"> </w:t>
      </w:r>
      <w:r>
        <w:t xml:space="preserve">chatbot?)</w:t>
      </w:r>
    </w:p>
    <w:p>
      <w:pPr>
        <w:numPr>
          <w:ilvl w:val="0"/>
          <w:numId w:val="1005"/>
        </w:numPr>
      </w:pPr>
      <w:r>
        <w:t xml:space="preserve">In the BRIDGE trial, research eligibility screening and patient</w:t>
      </w:r>
      <w:r>
        <w:t xml:space="preserve"> </w:t>
      </w:r>
      <w:r>
        <w:t xml:space="preserve">outreach by a genetic counseling assistant required on average a</w:t>
      </w:r>
      <w:r>
        <w:t xml:space="preserve"> </w:t>
      </w:r>
      <w:r>
        <w:t xml:space="preserve">couple of minutes per patient.</w:t>
      </w:r>
    </w:p>
    <w:bookmarkEnd w:id="24"/>
    <w:bookmarkEnd w:id="25"/>
    <w:bookmarkStart w:id="44" w:name="what-can-facilitate-governance-review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What can facilitate governance review?</w:t>
      </w:r>
    </w:p>
    <w:p>
      <w:pPr>
        <w:pStyle w:val="FirstParagraph"/>
      </w:pPr>
      <w:r>
        <w:t xml:space="preserve">To help you prepare for governance review within your HCS, following is information that may help you, including a description of</w:t>
      </w:r>
      <w:r>
        <w:t xml:space="preserve"> </w:t>
      </w:r>
      <w:hyperlink w:anchor="garde-architecture">
        <w:r>
          <w:rPr>
            <w:rStyle w:val="Hyperlink"/>
          </w:rPr>
          <w:t xml:space="preserve">GARDE architecture</w:t>
        </w:r>
      </w:hyperlink>
      <w:r>
        <w:t xml:space="preserve">,</w:t>
      </w:r>
      <w:r>
        <w:t xml:space="preserve"> </w:t>
      </w:r>
      <w:hyperlink w:anchor="deployment-requirements">
        <w:r>
          <w:rPr>
            <w:rStyle w:val="Hyperlink"/>
          </w:rPr>
          <w:t xml:space="preserve">GARDE deployment requirements</w:t>
        </w:r>
      </w:hyperlink>
      <w:r>
        <w:t xml:space="preserve"> </w:t>
      </w:r>
      <w:r>
        <w:t xml:space="preserve">and an estimate of the</w:t>
      </w:r>
      <w:r>
        <w:t xml:space="preserve"> </w:t>
      </w:r>
      <w:hyperlink w:anchor="it-human-resources">
        <w:r>
          <w:rPr>
            <w:rStyle w:val="Hyperlink"/>
          </w:rPr>
          <w:t xml:space="preserve">IT</w:t>
        </w:r>
      </w:hyperlink>
      <w:r>
        <w:t xml:space="preserve"> </w:t>
      </w:r>
      <w:r>
        <w:t xml:space="preserve">and</w:t>
      </w:r>
      <w:r>
        <w:t xml:space="preserve"> </w:t>
      </w:r>
      <w:hyperlink w:anchor="clinical-human-resources">
        <w:r>
          <w:rPr>
            <w:rStyle w:val="Hyperlink"/>
          </w:rPr>
          <w:t xml:space="preserve">Clinical</w:t>
        </w:r>
      </w:hyperlink>
      <w:r>
        <w:t xml:space="preserve"> </w:t>
      </w:r>
      <w:r>
        <w:t xml:space="preserve">Human Resources that may facilitate GARDE implementation.</w:t>
      </w:r>
    </w:p>
    <w:bookmarkStart w:id="26" w:name="Xfc1bb31d8e5732c61914fb30208daad2b79f0dc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Identify key stakeholders and champions for your project</w:t>
      </w:r>
    </w:p>
    <w:p>
      <w:pPr>
        <w:pStyle w:val="FirstParagraph"/>
      </w:pPr>
      <w:r>
        <w:t xml:space="preserve">We recommend that you consider identifying representatives from the</w:t>
      </w:r>
      <w:r>
        <w:t xml:space="preserve"> </w:t>
      </w:r>
      <w:r>
        <w:t xml:space="preserve">following stakeholder groups to support your review.</w:t>
      </w:r>
    </w:p>
    <w:p>
      <w:pPr>
        <w:numPr>
          <w:ilvl w:val="0"/>
          <w:numId w:val="1007"/>
        </w:numPr>
      </w:pPr>
      <w:r>
        <w:t xml:space="preserve">Relevant clinical stakeholders, such as:</w:t>
      </w:r>
    </w:p>
    <w:p>
      <w:pPr>
        <w:numPr>
          <w:ilvl w:val="1"/>
          <w:numId w:val="1008"/>
        </w:numPr>
      </w:pPr>
      <w:r>
        <w:t xml:space="preserve">Providers (e.g., primary care) whose patients will be evaluated by</w:t>
      </w:r>
      <w:r>
        <w:t xml:space="preserve"> </w:t>
      </w:r>
      <w:r>
        <w:t xml:space="preserve">GARDE</w:t>
      </w:r>
    </w:p>
    <w:p>
      <w:pPr>
        <w:numPr>
          <w:ilvl w:val="1"/>
          <w:numId w:val="1008"/>
        </w:numPr>
      </w:pPr>
      <w:r>
        <w:t xml:space="preserve">Cancer genetics/genetic counseling specialists</w:t>
      </w:r>
    </w:p>
    <w:p>
      <w:pPr>
        <w:numPr>
          <w:ilvl w:val="1"/>
          <w:numId w:val="1008"/>
        </w:numPr>
      </w:pPr>
      <w:r>
        <w:t xml:space="preserve">If available, clinicians who care for patients with hereditary</w:t>
      </w:r>
      <w:r>
        <w:t xml:space="preserve"> </w:t>
      </w:r>
      <w:r>
        <w:t xml:space="preserve">cancer predisposition syndromes</w:t>
      </w:r>
    </w:p>
    <w:p>
      <w:pPr>
        <w:numPr>
          <w:ilvl w:val="0"/>
          <w:numId w:val="1007"/>
        </w:numPr>
      </w:pPr>
      <w:r>
        <w:t xml:space="preserve">IT: EHR/Health IT, information security</w:t>
      </w:r>
    </w:p>
    <w:p>
      <w:pPr>
        <w:numPr>
          <w:ilvl w:val="0"/>
          <w:numId w:val="1007"/>
        </w:numPr>
      </w:pPr>
      <w:r>
        <w:t xml:space="preserve">Patient communication committee (this may be a part of EHR/IT)</w:t>
      </w:r>
    </w:p>
    <w:bookmarkEnd w:id="26"/>
    <w:bookmarkStart w:id="30" w:name="garde-architecture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GARDE Architecture</w:t>
      </w:r>
    </w:p>
    <w:p>
      <w:pPr>
        <w:pStyle w:val="FirstParagraph"/>
      </w:pPr>
      <w:r>
        <w:t xml:space="preserve">Overall, the GARDE architecture contains four components:</w:t>
      </w:r>
      <w:r>
        <w:t xml:space="preserve"> </w:t>
      </w:r>
      <w:r>
        <w:rPr>
          <w:iCs/>
          <w:i/>
        </w:rPr>
        <w:t xml:space="preserve">OpenCDS</w:t>
      </w:r>
      <w:r>
        <w:t xml:space="preserve">,</w:t>
      </w:r>
      <w:r>
        <w:t xml:space="preserve"> </w:t>
      </w:r>
      <w:r>
        <w:rPr>
          <w:iCs/>
          <w:i/>
        </w:rPr>
        <w:t xml:space="preserve">Population Coordinator</w:t>
      </w:r>
      <w:r>
        <w:t xml:space="preserve">, EHR</w:t>
      </w:r>
      <w:r>
        <w:t xml:space="preserve"> </w:t>
      </w:r>
      <w:r>
        <w:rPr>
          <w:iCs/>
          <w:i/>
        </w:rPr>
        <w:t xml:space="preserve">Patient Data Repository</w:t>
      </w:r>
      <w:r>
        <w:t xml:space="preserve"> </w:t>
      </w:r>
      <w:r>
        <w:t xml:space="preserve">(e.g., Epic’s</w:t>
      </w:r>
      <w:r>
        <w:t xml:space="preserve"> </w:t>
      </w:r>
      <w:r>
        <w:t xml:space="preserve">Clarity or other patient data repository), and Population Health</w:t>
      </w:r>
      <w:r>
        <w:t xml:space="preserve"> </w:t>
      </w:r>
      <w:r>
        <w:t xml:space="preserve">Management (PHM) tools (e.g., Epic’s Healthy Planet, REDCap) (see Figure</w:t>
      </w:r>
      <w:r>
        <w:t xml:space="preserve"> </w:t>
      </w:r>
      <w:r>
        <w:t xml:space="preserve">3).</w:t>
      </w:r>
      <w:r>
        <w:t xml:space="preserve"> </w:t>
      </w:r>
      <w:hyperlink r:id="rId27">
        <w:r>
          <w:rPr>
            <w:rStyle w:val="Hyperlink"/>
          </w:rPr>
          <w:t xml:space="preserve">OpenCDS</w:t>
        </w:r>
      </w:hyperlink>
      <w:r>
        <w:t xml:space="preserve"> </w:t>
      </w:r>
      <w:r>
        <w:t xml:space="preserve">is an open-source</w:t>
      </w:r>
      <w:r>
        <w:t xml:space="preserve"> </w:t>
      </w:r>
      <w:hyperlink r:id="rId28">
        <w:r>
          <w:rPr>
            <w:rStyle w:val="Hyperlink"/>
          </w:rPr>
          <w:t xml:space="preserve">CDS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Hooks</w:t>
        </w:r>
      </w:hyperlink>
      <w:r>
        <w:t xml:space="preserve">-compliant server that computes patient</w:t>
      </w:r>
      <w:r>
        <w:t xml:space="preserve"> </w:t>
      </w:r>
      <w:r>
        <w:t xml:space="preserve">eligibility for PHM cohorts. Population Coordinator is the application</w:t>
      </w:r>
      <w:r>
        <w:t xml:space="preserve"> </w:t>
      </w:r>
      <w:r>
        <w:t xml:space="preserve">endpoint and service choreographer that receives platform requests,</w:t>
      </w:r>
      <w:r>
        <w:t xml:space="preserve"> </w:t>
      </w:r>
      <w:r>
        <w:t xml:space="preserve">processes population data (transforms to/from Fast Healthcare</w:t>
      </w:r>
      <w:r>
        <w:t xml:space="preserve"> </w:t>
      </w:r>
      <w:r>
        <w:t xml:space="preserve">Interoperability Resources (</w:t>
      </w:r>
      <w:hyperlink r:id="rId29">
        <w:r>
          <w:rPr>
            <w:rStyle w:val="Hyperlink"/>
          </w:rPr>
          <w:t xml:space="preserve">FHIR</w:t>
        </w:r>
      </w:hyperlink>
      <w:r>
        <w:t xml:space="preserve">)), and</w:t>
      </w:r>
      <w:r>
        <w:t xml:space="preserve"> </w:t>
      </w:r>
      <w:r>
        <w:t xml:space="preserve">sends evaluation conclusions to the PHM system. EHR Patient Data</w:t>
      </w:r>
      <w:r>
        <w:t xml:space="preserve"> </w:t>
      </w:r>
      <w:r>
        <w:t xml:space="preserve">Repository is the source for patient data used by the GARDE logic. EHR</w:t>
      </w:r>
      <w:r>
        <w:t xml:space="preserve"> </w:t>
      </w:r>
      <w:r>
        <w:t xml:space="preserve">PHM Tools include a registry where patients who met PHM criteria are</w:t>
      </w:r>
      <w:r>
        <w:t xml:space="preserve"> </w:t>
      </w:r>
      <w:r>
        <w:t xml:space="preserve">tracked and a dashboard that clinical staff (in Figure 1, an assistant)</w:t>
      </w:r>
      <w:r>
        <w:t xml:space="preserve"> </w:t>
      </w:r>
      <w:r>
        <w:t xml:space="preserve">use to navigate the registry, review individual patient data, and</w:t>
      </w:r>
      <w:r>
        <w:t xml:space="preserve"> </w:t>
      </w:r>
      <w:r>
        <w:t xml:space="preserve">perform patient outreach functions.</w:t>
      </w:r>
    </w:p>
    <w:p>
      <w:pPr>
        <w:pStyle w:val="BodyText"/>
      </w:pPr>
    </w:p>
    <w:p>
      <w:pPr>
        <w:pStyle w:val="BodyText"/>
      </w:pPr>
      <w:r>
        <w:t xml:space="preserve">Figure 3. GARDE architecture. EHR or REDCap can perform</w:t>
      </w:r>
      <w:r>
        <w:t xml:space="preserve"> </w:t>
      </w:r>
      <w:r>
        <w:t xml:space="preserve">Population Health Management.</w:t>
      </w:r>
    </w:p>
    <w:bookmarkEnd w:id="30"/>
    <w:bookmarkStart w:id="43" w:name="deployment-requirements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Deployment Requirements</w:t>
      </w:r>
    </w:p>
    <w:p>
      <w:pPr>
        <w:pStyle w:val="FirstParagraph"/>
      </w:pPr>
      <w:r>
        <w:t xml:space="preserve">The GARDE components that need to be deployed are the Population</w:t>
      </w:r>
      <w:r>
        <w:t xml:space="preserve"> </w:t>
      </w:r>
      <w:r>
        <w:t xml:space="preserve">Coordinator, OpenCDS (Figure 3), and FactDB (not shown). FactDB is a</w:t>
      </w:r>
      <w:r>
        <w:t xml:space="preserve"> </w:t>
      </w:r>
      <w:r>
        <w:t xml:space="preserve">central data store that serves multiple purposes: (1) provides a</w:t>
      </w:r>
      <w:r>
        <w:t xml:space="preserve"> </w:t>
      </w:r>
      <w:r>
        <w:t xml:space="preserve">persistent mechanism for GARDE tracking and managing patient cohorts,</w:t>
      </w:r>
      <w:r>
        <w:t xml:space="preserve"> </w:t>
      </w:r>
      <w:r>
        <w:t xml:space="preserve">patient facts, and data provenance; (2) supports interoperability by</w:t>
      </w:r>
      <w:r>
        <w:t xml:space="preserve"> </w:t>
      </w:r>
      <w:r>
        <w:t xml:space="preserve">using FHIR data elements and terminology; and (3) serves as a staging</w:t>
      </w:r>
      <w:r>
        <w:t xml:space="preserve"> </w:t>
      </w:r>
      <w:r>
        <w:t xml:space="preserve">area for intermediate data to improve performance.</w:t>
      </w:r>
    </w:p>
    <w:p>
      <w:pPr>
        <w:pStyle w:val="BodyText"/>
      </w:pPr>
      <w:r>
        <w:t xml:space="preserve">Two deployment hosting strategies are supported:</w:t>
      </w:r>
    </w:p>
    <w:p>
      <w:pPr>
        <w:numPr>
          <w:ilvl w:val="0"/>
          <w:numId w:val="1009"/>
        </w:numPr>
      </w:pPr>
      <w:r>
        <w:t xml:space="preserve">On premises — GARDE components are installed on the implementing</w:t>
      </w:r>
      <w:r>
        <w:t xml:space="preserve"> </w:t>
      </w:r>
      <w:r>
        <w:t xml:space="preserve">site’s servers, typically Virtual Machines (VMs).</w:t>
      </w:r>
    </w:p>
    <w:p>
      <w:pPr>
        <w:numPr>
          <w:ilvl w:val="0"/>
          <w:numId w:val="1009"/>
        </w:numPr>
      </w:pPr>
      <w:r>
        <w:t xml:space="preserve">Cloud — GARDE components are installed on an implementing site’s</w:t>
      </w:r>
      <w:r>
        <w:t xml:space="preserve"> </w:t>
      </w:r>
      <w:r>
        <w:t xml:space="preserve">cloud-based solution (via</w:t>
      </w:r>
      <w:r>
        <w:t xml:space="preserve"> </w:t>
      </w:r>
      <w:hyperlink r:id="rId3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or</w:t>
      </w:r>
      <w:r>
        <w:t xml:space="preserve"> </w:t>
      </w:r>
      <w:hyperlink r:id="rId32">
        <w:r>
          <w:rPr>
            <w:rStyle w:val="Hyperlink"/>
          </w:rPr>
          <w:t xml:space="preserve">Kubernetes</w:t>
        </w:r>
      </w:hyperlink>
      <w:r>
        <w:t xml:space="preserve">). Current cloud-based solutions</w:t>
      </w:r>
      <w:r>
        <w:t xml:space="preserve"> </w:t>
      </w:r>
      <w:r>
        <w:t xml:space="preserve">include</w:t>
      </w:r>
      <w:r>
        <w:t xml:space="preserve"> </w:t>
      </w:r>
      <w:hyperlink r:id="rId33">
        <w:r>
          <w:rPr>
            <w:rStyle w:val="Hyperlink"/>
          </w:rPr>
          <w:t xml:space="preserve">AWS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Azure</w:t>
        </w:r>
      </w:hyperlink>
      <w:r>
        <w:t xml:space="preserve">.</w:t>
      </w:r>
    </w:p>
    <w:p>
      <w:pPr>
        <w:pStyle w:val="FirstParagraph"/>
      </w:pPr>
      <w:r>
        <w:t xml:space="preserve">Detailed instructions, including the source code, for how to deploy</w:t>
      </w:r>
      <w:r>
        <w:t xml:space="preserve"> </w:t>
      </w:r>
      <w:r>
        <w:t xml:space="preserve">GARDE using Docker can be found</w:t>
      </w:r>
      <w:r>
        <w:t xml:space="preserve"> </w:t>
      </w:r>
      <w:hyperlink r:id="rId3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Once deployed, GARDE requires terminology mappings between the</w:t>
      </w:r>
      <w:r>
        <w:t xml:space="preserve"> </w:t>
      </w:r>
      <w:r>
        <w:t xml:space="preserve">implementing site’s family history codes and GARDE’s terminologies,</w:t>
      </w:r>
      <w:r>
        <w:t xml:space="preserve"> </w:t>
      </w:r>
      <w:r>
        <w:t xml:space="preserve">which use standards such as ICD 9,</w:t>
      </w:r>
      <w:r>
        <w:t xml:space="preserve"> </w:t>
      </w:r>
      <w:hyperlink r:id="rId36">
        <w:r>
          <w:rPr>
            <w:rStyle w:val="Hyperlink"/>
          </w:rPr>
          <w:t xml:space="preserve">ICD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SNOMED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HL7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SEER</w:t>
        </w:r>
      </w:hyperlink>
      <w:r>
        <w:t xml:space="preserve">. Mappings are created by data</w:t>
      </w:r>
      <w:r>
        <w:t xml:space="preserve"> </w:t>
      </w:r>
      <w:r>
        <w:t xml:space="preserve">analysts for each deployment site with help from tools provided by our</w:t>
      </w:r>
      <w:r>
        <w:t xml:space="preserve"> </w:t>
      </w:r>
      <w:r>
        <w:t xml:space="preserve">team. Once completed, mappings are then loaded into GARDE where they are</w:t>
      </w:r>
      <w:r>
        <w:t xml:space="preserve"> </w:t>
      </w:r>
      <w:r>
        <w:t xml:space="preserve">used to interpret family history data.</w:t>
      </w:r>
    </w:p>
    <w:p>
      <w:pPr>
        <w:pStyle w:val="BodyText"/>
      </w:pPr>
      <w:r>
        <w:t xml:space="preserve">Relevant patient data, including patient family history data, are</w:t>
      </w:r>
      <w:r>
        <w:t xml:space="preserve"> </w:t>
      </w:r>
      <w:r>
        <w:t xml:space="preserve">extracted from the site’s EHR as input for GARDE evaluations. The</w:t>
      </w:r>
      <w:r>
        <w:t xml:space="preserve"> </w:t>
      </w:r>
      <w:r>
        <w:t xml:space="preserve">Population Coordinator executes an Extract, Transform, and Load (ETL)</w:t>
      </w:r>
      <w:r>
        <w:t xml:space="preserve"> </w:t>
      </w:r>
      <w:r>
        <w:t xml:space="preserve">pattern to identify and retrieve the screening population. GARDE</w:t>
      </w:r>
      <w:r>
        <w:t xml:space="preserve"> </w:t>
      </w:r>
      <w:r>
        <w:t xml:space="preserve">provides query specifications for these data, and, for Epic customers,</w:t>
      </w:r>
      <w:r>
        <w:t xml:space="preserve"> </w:t>
      </w:r>
      <w:r>
        <w:t xml:space="preserve">query templates. GARDE evaluations export results conducive for loading</w:t>
      </w:r>
      <w:r>
        <w:t xml:space="preserve"> </w:t>
      </w:r>
      <w:r>
        <w:t xml:space="preserve">into the PHM system. Two options are available, via secure structured</w:t>
      </w:r>
      <w:r>
        <w:t xml:space="preserve"> </w:t>
      </w:r>
      <w:r>
        <w:t xml:space="preserve">text file sharing, or via EHR web services APIs. Additional information</w:t>
      </w:r>
      <w:r>
        <w:t xml:space="preserve"> </w:t>
      </w:r>
      <w:r>
        <w:t xml:space="preserve">about GARDE’s architecture and deployment are available elsewhere.</w:t>
      </w:r>
      <w:r>
        <w:rPr>
          <w:rStyle w:val="FootnoteReference"/>
        </w:rPr>
        <w:footnoteReference w:id="40"/>
      </w:r>
    </w:p>
    <w:bookmarkEnd w:id="43"/>
    <w:bookmarkEnd w:id="44"/>
    <w:bookmarkStart w:id="50" w:name="it-human-resourc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IT Human Resources</w:t>
      </w:r>
    </w:p>
    <w:p>
      <w:pPr>
        <w:pStyle w:val="FirstParagraph"/>
      </w:pPr>
      <w:r>
        <w:t xml:space="preserve">Based on GARDE implementation in BRIDGE, below is an estimate of the IT</w:t>
      </w:r>
      <w:r>
        <w:t xml:space="preserve"> </w:t>
      </w:r>
      <w:r>
        <w:t xml:space="preserve">human resources necessary for its successful implementation over the</w:t>
      </w:r>
      <w:r>
        <w:t xml:space="preserve"> </w:t>
      </w:r>
      <w:r>
        <w:t xml:space="preserve">initial 8 months. Some tasks may require &gt;1 individual. The exact</w:t>
      </w:r>
      <w:r>
        <w:t xml:space="preserve"> </w:t>
      </w:r>
      <w:r>
        <w:t xml:space="preserve">number of hours necessary will vary depending on how GARDE is</w:t>
      </w:r>
      <w:r>
        <w:t xml:space="preserve"> </w:t>
      </w:r>
      <w:r>
        <w:t xml:space="preserve">implemented.</w:t>
      </w:r>
    </w:p>
    <w:bookmarkStart w:id="45" w:name="planning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Planning</w:t>
      </w:r>
    </w:p>
    <w:p>
      <w:pPr>
        <w:pStyle w:val="FirstParagraph"/>
      </w:pPr>
      <w:r>
        <w:t xml:space="preserve">Overall</w:t>
      </w:r>
      <w:r>
        <w:t xml:space="preserve">: ~3 months of weekly or biweekly team</w:t>
      </w:r>
      <w:r>
        <w:t xml:space="preserve"> </w:t>
      </w:r>
      <w:r>
        <w:t xml:space="preserve">planning/coordination meetings (will likely include non-IT personnel,</w:t>
      </w:r>
      <w:r>
        <w:t xml:space="preserve"> </w:t>
      </w:r>
      <w:r>
        <w:t xml:space="preserve">only IT personnel tasks below)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Requirements gathering about creating HCS compliant interface between GARDE and Epic, elicit additional code specific requirements identified while building/coding software (1 hour/week/person)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project (1 hour/week/person)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60</w:t>
            </w:r>
          </w:p>
        </w:tc>
      </w:tr>
    </w:tbl>
    <w:bookmarkEnd w:id="45"/>
    <w:bookmarkStart w:id="46" w:name="deployment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Deployment</w:t>
      </w:r>
    </w:p>
    <w:p>
      <w:pPr>
        <w:pStyle w:val="FirstParagraph"/>
      </w:pPr>
      <w:r>
        <w:t xml:space="preserve">(only one deployment option (virtual machine OR cloud-based) is</w:t>
      </w:r>
      <w:r>
        <w:t xml:space="preserve"> </w:t>
      </w:r>
      <w:r>
        <w:t xml:space="preserve">necessary)</w:t>
      </w:r>
    </w:p>
    <w:p>
      <w:pPr>
        <w:pStyle w:val="BodyText"/>
      </w:pPr>
      <w:r>
        <w:t xml:space="preserve">On premise server</w:t>
      </w:r>
    </w:p>
    <w:p>
      <w:pPr>
        <w:pStyle w:val="BodyText"/>
      </w:pPr>
      <w:r>
        <w:t xml:space="preserve">Institution-selected cloud service (e.g. AWS, Azure)</w:t>
      </w:r>
    </w:p>
    <w:p>
      <w:pPr>
        <w:pStyle w:val="BodyText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Security review, design GARDE implementation plan, provide</w:t>
      </w:r>
    </w:p>
    <w:p>
      <w:pPr>
        <w:pStyle w:val="BodyText"/>
      </w:pPr>
      <w:r>
        <w:t xml:space="preserve">approvals/oversight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Security review, design GARDE implementation plan, provide</w:t>
      </w:r>
      <w:r>
        <w:t xml:space="preserve"> </w:t>
      </w:r>
      <w:r>
        <w:t xml:space="preserve">approvals/oversight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Request virtual machine, install GARDE, configure, test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Develop GARDE system architecture appropriate for HCS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Enterprise data warehouse (EDW) project approval/oversight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Create virtual private cloud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Build EDW schema, grant access, review design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Configure queries to extract data for GARDE input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ETL Process - move GARDE input data to cloud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Adapt GARDE to run and input/output on cloud</w:t>
      </w:r>
    </w:p>
    <w:p>
      <w:pPr>
        <w:pStyle w:val="BodyText"/>
      </w:pPr>
      <w:r>
        <w:t xml:space="preserve">TBD*</w:t>
      </w:r>
    </w:p>
    <w:p>
      <w:pPr>
        <w:pStyle w:val="BodyText"/>
      </w:pPr>
      <w:r>
        <w:t xml:space="preserve">Map EHR codes to GARDE codes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Map EHR codes to GARDE codes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* Amount of time necessary will depend on HCS ability to support</w:t>
      </w:r>
      <w:r>
        <w:t xml:space="preserve"> </w:t>
      </w:r>
      <w:r>
        <w:t xml:space="preserve">GARDE-established cloud deployments (AWS or Azure) and staff experience.</w:t>
      </w:r>
    </w:p>
    <w:bookmarkEnd w:id="46"/>
    <w:bookmarkStart w:id="47" w:name="epic-integration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Epic Integration</w:t>
      </w:r>
    </w:p>
    <w:p>
      <w:pPr>
        <w:pStyle w:val="FirstParagraph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Health Planet Registry (HPR) build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ETL to populate HPR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Smart Data Element (SDE) read/write interface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GARDE interface to Epic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140</w:t>
      </w:r>
    </w:p>
    <w:bookmarkEnd w:id="47"/>
    <w:bookmarkStart w:id="48" w:name="chatbot-integration-and-deployment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Chatbot integration and deployment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 GARDE chatbot, ETL chatbot data/ states to SDE, ETL chatbot links to EHR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40</w:t>
            </w:r>
          </w:p>
        </w:tc>
      </w:tr>
    </w:tbl>
    <w:bookmarkEnd w:id="48"/>
    <w:bookmarkStart w:id="49" w:name="operations-maintenance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Operations &amp; Maintenance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On premise server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Institution-selected cloud service (e.g. AWS, Azure)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Oversee GARDE operations. Apply fixes/security patches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Oversee GARDE operations. Apply fixes/security patches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??**</w:t>
            </w:r>
          </w:p>
        </w:tc>
      </w:tr>
    </w:tbl>
    <w:p>
      <w:pPr>
        <w:pStyle w:val="BodyText"/>
      </w:pPr>
      <w:r>
        <w:t xml:space="preserve">**Amount of time necessary will depend on complexities of cloud</w:t>
      </w:r>
      <w:r>
        <w:t xml:space="preserve"> </w:t>
      </w:r>
      <w:r>
        <w:t xml:space="preserve">deployment and amount of trouble-shooting necessary. Cloud-based</w:t>
      </w:r>
      <w:r>
        <w:t xml:space="preserve"> </w:t>
      </w:r>
      <w:r>
        <w:t xml:space="preserve">solutions other than AWS or Azure will require more time.</w:t>
      </w:r>
    </w:p>
    <w:bookmarkEnd w:id="49"/>
    <w:bookmarkEnd w:id="50"/>
    <w:bookmarkStart w:id="52" w:name="clinical-human-resourc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Clinical Human Resources</w:t>
      </w:r>
    </w:p>
    <w:p>
      <w:pPr>
        <w:pStyle w:val="FirstParagraph"/>
      </w:pPr>
      <w:r>
        <w:t xml:space="preserve">Based on GARDE implementation in BRIDGE, below is an estimate of the</w:t>
      </w:r>
      <w:r>
        <w:t xml:space="preserve"> </w:t>
      </w:r>
      <w:r>
        <w:t xml:space="preserve">clinical human resources necessary for its successful implementation</w:t>
      </w:r>
      <w:r>
        <w:t xml:space="preserve"> </w:t>
      </w:r>
      <w:r>
        <w:t xml:space="preserve">over the initial 3 months. The exact number of hours necessary will vary</w:t>
      </w:r>
      <w:r>
        <w:t xml:space="preserve"> </w:t>
      </w:r>
      <w:r>
        <w:t xml:space="preserve">depending on how GARDE is implemented.</w:t>
      </w:r>
    </w:p>
    <w:bookmarkStart w:id="51" w:name="planning-1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Planning</w:t>
      </w:r>
    </w:p>
    <w:p>
      <w:pPr>
        <w:pStyle w:val="FirstParagraph"/>
      </w:pPr>
      <w:r>
        <w:t xml:space="preserve">Overall: ~3 months of weekly or biweekly team planning/coordination</w:t>
      </w:r>
      <w:r>
        <w:t xml:space="preserve"> </w:t>
      </w:r>
      <w:r>
        <w:t xml:space="preserve">meetings (will likely</w:t>
      </w:r>
    </w:p>
    <w:p>
      <w:pPr>
        <w:pStyle w:val="BodyText"/>
      </w:pPr>
      <w:r>
        <w:t xml:space="preserve">include non-clinical personnel, only clinical personnel tasks</w:t>
      </w:r>
      <w:r>
        <w:t xml:space="preserve"> </w:t>
      </w:r>
      <w:r>
        <w:t xml:space="preserve">below)</w:t>
      </w:r>
    </w:p>
    <w:p>
      <w:pPr>
        <w:pStyle w:val="BodyText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Clarify genetic counseling team needs / workflow and agreement with</w:t>
      </w:r>
      <w:r>
        <w:t xml:space="preserve"> </w:t>
      </w:r>
      <w:r>
        <w:t xml:space="preserve">GARDE implementation (0.75 hour/week/person)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Provide insights into workflow for contacting patients / charting</w:t>
      </w:r>
      <w:r>
        <w:t xml:space="preserve"> </w:t>
      </w:r>
      <w:r>
        <w:t xml:space="preserve">needs and requirements, provide feedback on running trial. (1 hour /</w:t>
      </w:r>
      <w:r>
        <w:t xml:space="preserve"> </w:t>
      </w:r>
      <w:r>
        <w:t xml:space="preserve">week / person)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Provide insights into primary care teams’ and patients’ needs,</w:t>
      </w:r>
      <w:r>
        <w:t xml:space="preserve"> </w:t>
      </w:r>
      <w:r>
        <w:t xml:space="preserve">current staff workflow, provide guidance for how to notify primary care</w:t>
      </w:r>
      <w:r>
        <w:t xml:space="preserve"> </w:t>
      </w:r>
      <w:r>
        <w:t xml:space="preserve">team. (0.5 hour/week/person)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Develop and revise chatbot messages for all GARDE sub-populations (1</w:t>
      </w:r>
      <w:r>
        <w:t xml:space="preserve"> </w:t>
      </w:r>
      <w:r>
        <w:t xml:space="preserve">hour/week/person)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22.5</w:t>
      </w:r>
    </w:p>
    <w:bookmarkEnd w:id="51"/>
    <w:bookmarkEnd w:id="52"/>
    <w:bookmarkEnd w:id="53"/>
    <w:bookmarkStart w:id="66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4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Guilherme Del Fiol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Anne Madeo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Jiantao Bian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62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NCI U24CA204800</w:t>
              </w:r>
            </w:hyperlink>
            <w:r>
              <w:t xml:space="preserve">,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NCI U01CA232826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Kaphingst KA, Kohlmann WK, Lorenz Chambers R, et al. Uptake of</w:t>
      </w:r>
      <w:r>
        <w:t xml:space="preserve"> </w:t>
      </w:r>
      <w:r>
        <w:t xml:space="preserve">Cancer Genetic Services for Chatbot vs Standard-of-Care Delivery</w:t>
      </w:r>
      <w:r>
        <w:t xml:space="preserve"> </w:t>
      </w:r>
      <w:r>
        <w:t xml:space="preserve">Models: The BRIDGE Randomized Clinical Trial.</w:t>
      </w:r>
      <w:r>
        <w:t xml:space="preserve"> </w:t>
      </w:r>
      <w:r>
        <w:rPr>
          <w:iCs/>
          <w:i/>
        </w:rPr>
        <w:t xml:space="preserve">JAMA Netw Open</w:t>
      </w:r>
      <w:r>
        <w:t xml:space="preserve">. 2024</w:t>
      </w:r>
      <w:r>
        <w:t xml:space="preserve"> </w:t>
      </w:r>
      <w:r>
        <w:t xml:space="preserve">Sep 3;7(9):e2432143. doi: 10.1001/jamanetworkopen.2024.32143. PMID:</w:t>
      </w:r>
      <w:r>
        <w:t xml:space="preserve"> </w:t>
      </w:r>
      <w:hyperlink r:id="rId21">
        <w:r>
          <w:rPr>
            <w:rStyle w:val="Hyperlink"/>
          </w:rPr>
          <w:t xml:space="preserve">39250153</w:t>
        </w:r>
      </w:hyperlink>
      <w:r>
        <w:t xml:space="preserve">; PMCID:</w:t>
      </w:r>
      <w:r>
        <w:t xml:space="preserve"> </w:t>
      </w:r>
      <w:hyperlink r:id="rId21">
        <w:r>
          <w:rPr>
            <w:rStyle w:val="Hyperlink"/>
          </w:rPr>
          <w:t xml:space="preserve">PMC11385050</w:t>
        </w:r>
      </w:hyperlink>
      <w:r>
        <w:t xml:space="preserve">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Bradshaw RL, Kawamoto K, Kaphingst KA, et al. GARDE: a</w:t>
      </w:r>
      <w:r>
        <w:t xml:space="preserve"> </w:t>
      </w:r>
      <w:r>
        <w:t xml:space="preserve">standards-based clinical decision support platform for identifying</w:t>
      </w:r>
      <w:r>
        <w:t xml:space="preserve"> </w:t>
      </w:r>
      <w:r>
        <w:t xml:space="preserve">population health management cohorts.</w:t>
      </w:r>
      <w:r>
        <w:t xml:space="preserve"> </w:t>
      </w:r>
      <w:r>
        <w:rPr>
          <w:iCs/>
          <w:i/>
        </w:rPr>
        <w:t xml:space="preserve">J Am Med Inform Assoc</w:t>
      </w:r>
      <w:r>
        <w:t xml:space="preserve">.</w:t>
      </w:r>
      <w:r>
        <w:t xml:space="preserve"> </w:t>
      </w:r>
      <w:r>
        <w:t xml:space="preserve">2022;29(5):928-936. PMID:</w:t>
      </w:r>
      <w:r>
        <w:t xml:space="preserve"> </w:t>
      </w:r>
      <w:hyperlink r:id="rId41">
        <w:r>
          <w:rPr>
            <w:rStyle w:val="Hyperlink"/>
          </w:rPr>
          <w:t xml:space="preserve">35224632</w:t>
        </w:r>
      </w:hyperlink>
      <w:r>
        <w:t xml:space="preserve">; PMCID:</w:t>
      </w:r>
      <w:r>
        <w:t xml:space="preserve"> </w:t>
      </w:r>
      <w:hyperlink r:id="rId42">
        <w:r>
          <w:rPr>
            <w:rStyle w:val="Hyperlink"/>
          </w:rPr>
          <w:t xml:space="preserve">PMC9006693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ws.amazon.com/" TargetMode="External" /><Relationship Type="http://schemas.openxmlformats.org/officeDocument/2006/relationships/hyperlink" Id="rId34" Target="https://azure.microsoft.com/en-us" TargetMode="External" /><Relationship Type="http://schemas.openxmlformats.org/officeDocument/2006/relationships/hyperlink" Id="rId35" Target="https://bitbucket.org/RickSlc/garde-docker/src/main/README.md" TargetMode="External" /><Relationship Type="http://schemas.openxmlformats.org/officeDocument/2006/relationships/hyperlink" Id="rId60" Target="https://carriewright11.github.io/" TargetMode="External" /><Relationship Type="http://schemas.openxmlformats.org/officeDocument/2006/relationships/hyperlink" Id="rId28" Target="https://cds-hooks.org/" TargetMode="External" /><Relationship Type="http://schemas.openxmlformats.org/officeDocument/2006/relationships/hyperlink" Id="rId65" Target="https://clinicaltrials.gov/ct2/show/NCT03985852" TargetMode="External" /><Relationship Type="http://schemas.openxmlformats.org/officeDocument/2006/relationships/hyperlink" Id="rId62" Target="https://github.com/jhudsl/ottrpal" TargetMode="External" /><Relationship Type="http://schemas.openxmlformats.org/officeDocument/2006/relationships/hyperlink" Id="rId63" Target="https://johnmuschelli.com/" TargetMode="External" /><Relationship Type="http://schemas.openxmlformats.org/officeDocument/2006/relationships/hyperlink" Id="rId32" Target="https://kubernetes.io/" TargetMode="External" /><Relationship Type="http://schemas.openxmlformats.org/officeDocument/2006/relationships/hyperlink" Id="rId55" Target="https://medicine.utah.edu/faculty/mddetail/u0420797" TargetMode="External" /><Relationship Type="http://schemas.openxmlformats.org/officeDocument/2006/relationships/hyperlink" Id="rId42" Target="https://pmc.ncbi.nlm.nih.gov/articles/PMC9006693/" TargetMode="External" /><Relationship Type="http://schemas.openxmlformats.org/officeDocument/2006/relationships/hyperlink" Id="rId41" Target="https://pubmed.ncbi.nlm.nih.gov/35224632/" TargetMode="External" /><Relationship Type="http://schemas.openxmlformats.org/officeDocument/2006/relationships/hyperlink" Id="rId21" Target="https://pubmed.ncbi.nlm.nih.gov/39250153/" TargetMode="External" /><Relationship Type="http://schemas.openxmlformats.org/officeDocument/2006/relationships/hyperlink" Id="rId64" Target="https://reporter.nih.gov/search/r6C7YNO7hkamZGNfiBrrFA/project-details/9979779" TargetMode="External" /><Relationship Type="http://schemas.openxmlformats.org/officeDocument/2006/relationships/hyperlink" Id="rId56" Target="https://scholar.google.com/citations?user=0lAuthAAAAAJ&amp;hl=en" TargetMode="External" /><Relationship Type="http://schemas.openxmlformats.org/officeDocument/2006/relationships/hyperlink" Id="rId58" Target="https://scholar.google.com/citations?user=FliJ45sAAAAJ&amp;hl=en" TargetMode="External" /><Relationship Type="http://schemas.openxmlformats.org/officeDocument/2006/relationships/hyperlink" Id="rId39" Target="https://seer.cancer.gov/" TargetMode="External" /><Relationship Type="http://schemas.openxmlformats.org/officeDocument/2006/relationships/hyperlink" Id="rId61" Target="https://www.avahoffman.com/" TargetMode="External" /><Relationship Type="http://schemas.openxmlformats.org/officeDocument/2006/relationships/hyperlink" Id="rId59" Target="https://www.cansavvy.com/" TargetMode="External" /><Relationship Type="http://schemas.openxmlformats.org/officeDocument/2006/relationships/hyperlink" Id="rId36" Target="https://www.cdc.gov/nchs/icd/icd-10/index.html" TargetMode="External" /><Relationship Type="http://schemas.openxmlformats.org/officeDocument/2006/relationships/hyperlink" Id="rId31" Target="https://www.docker.com/" TargetMode="External" /><Relationship Type="http://schemas.openxmlformats.org/officeDocument/2006/relationships/hyperlink" Id="rId29" Target="https://www.hl7.org/fhir/" TargetMode="External" /><Relationship Type="http://schemas.openxmlformats.org/officeDocument/2006/relationships/hyperlink" Id="rId38" Target="https://www.hl7.org/index.cfm" TargetMode="External" /><Relationship Type="http://schemas.openxmlformats.org/officeDocument/2006/relationships/hyperlink" Id="rId57" Target="https://www.ncbi.nlm.nih.gov/myncbi/anne.madeo.2/bibliography/public/" TargetMode="External" /><Relationship Type="http://schemas.openxmlformats.org/officeDocument/2006/relationships/hyperlink" Id="rId27" Target="https://www.opencds.org/" TargetMode="External" /><Relationship Type="http://schemas.openxmlformats.org/officeDocument/2006/relationships/hyperlink" Id="rId54" Target="https://www.ottrproject.org/more_features.html#giving-credits-to-contributors" TargetMode="External" /><Relationship Type="http://schemas.openxmlformats.org/officeDocument/2006/relationships/hyperlink" Id="rId37" Target="https://www.snomed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aws.amazon.com/" TargetMode="External" /><Relationship Type="http://schemas.openxmlformats.org/officeDocument/2006/relationships/hyperlink" Id="rId34" Target="https://azure.microsoft.com/en-us" TargetMode="External" /><Relationship Type="http://schemas.openxmlformats.org/officeDocument/2006/relationships/hyperlink" Id="rId35" Target="https://bitbucket.org/RickSlc/garde-docker/src/main/README.md" TargetMode="External" /><Relationship Type="http://schemas.openxmlformats.org/officeDocument/2006/relationships/hyperlink" Id="rId60" Target="https://carriewright11.github.io/" TargetMode="External" /><Relationship Type="http://schemas.openxmlformats.org/officeDocument/2006/relationships/hyperlink" Id="rId28" Target="https://cds-hooks.org/" TargetMode="External" /><Relationship Type="http://schemas.openxmlformats.org/officeDocument/2006/relationships/hyperlink" Id="rId65" Target="https://clinicaltrials.gov/ct2/show/NCT03985852" TargetMode="External" /><Relationship Type="http://schemas.openxmlformats.org/officeDocument/2006/relationships/hyperlink" Id="rId62" Target="https://github.com/jhudsl/ottrpal" TargetMode="External" /><Relationship Type="http://schemas.openxmlformats.org/officeDocument/2006/relationships/hyperlink" Id="rId63" Target="https://johnmuschelli.com/" TargetMode="External" /><Relationship Type="http://schemas.openxmlformats.org/officeDocument/2006/relationships/hyperlink" Id="rId32" Target="https://kubernetes.io/" TargetMode="External" /><Relationship Type="http://schemas.openxmlformats.org/officeDocument/2006/relationships/hyperlink" Id="rId55" Target="https://medicine.utah.edu/faculty/mddetail/u0420797" TargetMode="External" /><Relationship Type="http://schemas.openxmlformats.org/officeDocument/2006/relationships/hyperlink" Id="rId42" Target="https://pmc.ncbi.nlm.nih.gov/articles/PMC9006693/" TargetMode="External" /><Relationship Type="http://schemas.openxmlformats.org/officeDocument/2006/relationships/hyperlink" Id="rId41" Target="https://pubmed.ncbi.nlm.nih.gov/35224632/" TargetMode="External" /><Relationship Type="http://schemas.openxmlformats.org/officeDocument/2006/relationships/hyperlink" Id="rId21" Target="https://pubmed.ncbi.nlm.nih.gov/39250153/" TargetMode="External" /><Relationship Type="http://schemas.openxmlformats.org/officeDocument/2006/relationships/hyperlink" Id="rId64" Target="https://reporter.nih.gov/search/r6C7YNO7hkamZGNfiBrrFA/project-details/9979779" TargetMode="External" /><Relationship Type="http://schemas.openxmlformats.org/officeDocument/2006/relationships/hyperlink" Id="rId56" Target="https://scholar.google.com/citations?user=0lAuthAAAAAJ&amp;hl=en" TargetMode="External" /><Relationship Type="http://schemas.openxmlformats.org/officeDocument/2006/relationships/hyperlink" Id="rId58" Target="https://scholar.google.com/citations?user=FliJ45sAAAAJ&amp;hl=en" TargetMode="External" /><Relationship Type="http://schemas.openxmlformats.org/officeDocument/2006/relationships/hyperlink" Id="rId39" Target="https://seer.cancer.gov/" TargetMode="External" /><Relationship Type="http://schemas.openxmlformats.org/officeDocument/2006/relationships/hyperlink" Id="rId61" Target="https://www.avahoffman.com/" TargetMode="External" /><Relationship Type="http://schemas.openxmlformats.org/officeDocument/2006/relationships/hyperlink" Id="rId59" Target="https://www.cansavvy.com/" TargetMode="External" /><Relationship Type="http://schemas.openxmlformats.org/officeDocument/2006/relationships/hyperlink" Id="rId36" Target="https://www.cdc.gov/nchs/icd/icd-10/index.html" TargetMode="External" /><Relationship Type="http://schemas.openxmlformats.org/officeDocument/2006/relationships/hyperlink" Id="rId31" Target="https://www.docker.com/" TargetMode="External" /><Relationship Type="http://schemas.openxmlformats.org/officeDocument/2006/relationships/hyperlink" Id="rId29" Target="https://www.hl7.org/fhir/" TargetMode="External" /><Relationship Type="http://schemas.openxmlformats.org/officeDocument/2006/relationships/hyperlink" Id="rId38" Target="https://www.hl7.org/index.cfm" TargetMode="External" /><Relationship Type="http://schemas.openxmlformats.org/officeDocument/2006/relationships/hyperlink" Id="rId57" Target="https://www.ncbi.nlm.nih.gov/myncbi/anne.madeo.2/bibliography/public/" TargetMode="External" /><Relationship Type="http://schemas.openxmlformats.org/officeDocument/2006/relationships/hyperlink" Id="rId27" Target="https://www.opencds.org/" TargetMode="External" /><Relationship Type="http://schemas.openxmlformats.org/officeDocument/2006/relationships/hyperlink" Id="rId54" Target="https://www.ottrproject.org/more_features.html#giving-credits-to-contributors" TargetMode="External" /><Relationship Type="http://schemas.openxmlformats.org/officeDocument/2006/relationships/hyperlink" Id="rId37" Target="https://www.snomed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</dc:title>
  <dc:creator/>
  <dc:description>Description about Course/Book.</dc:description>
  <cp:keywords/>
  <dcterms:created xsi:type="dcterms:W3CDTF">2025-05-15T21:31:38Z</dcterms:created>
  <dcterms:modified xsi:type="dcterms:W3CDTF">2025-05-15T21:31:38Z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May,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