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16DE9" w14:textId="77777777" w:rsidR="00662A4B" w:rsidRPr="00662A4B" w:rsidRDefault="00662A4B" w:rsidP="00662A4B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lang w:val="en-BE" w:eastAsia="en-BE"/>
          <w14:ligatures w14:val="none"/>
        </w:rPr>
      </w:pPr>
      <w:r w:rsidRPr="00662A4B">
        <w:rPr>
          <w:rFonts w:ascii="Aptos Narrow" w:eastAsia="Times New Roman" w:hAnsi="Aptos Narrow" w:cs="Times New Roman"/>
          <w:b/>
          <w:bCs/>
          <w:color w:val="000000"/>
          <w:kern w:val="0"/>
          <w:lang w:val="en-BE" w:eastAsia="en-BE"/>
          <w14:ligatures w14:val="none"/>
        </w:rPr>
        <w:t>What is the correct treatment of input VAT for employee home-office equipment purchased on a reimbursement basis?</w:t>
      </w:r>
    </w:p>
    <w:p w14:paraId="7CCA6959" w14:textId="77777777" w:rsidR="00B6268B" w:rsidRDefault="00B6268B">
      <w:pPr>
        <w:rPr>
          <w:lang w:val="en-BE"/>
        </w:rPr>
      </w:pPr>
    </w:p>
    <w:p w14:paraId="506AEF6E" w14:textId="77777777" w:rsidR="00662A4B" w:rsidRPr="00662A4B" w:rsidRDefault="00662A4B" w:rsidP="00662A4B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val="en-BE" w:eastAsia="en-BE"/>
          <w14:ligatures w14:val="none"/>
        </w:rPr>
      </w:pPr>
      <w:r w:rsidRPr="00662A4B">
        <w:rPr>
          <w:rFonts w:ascii="Aptos Narrow" w:eastAsia="Times New Roman" w:hAnsi="Aptos Narrow" w:cs="Times New Roman"/>
          <w:color w:val="000000"/>
          <w:kern w:val="0"/>
          <w:lang w:val="en-BE" w:eastAsia="en-BE"/>
          <w14:ligatures w14:val="none"/>
        </w:rPr>
        <w:t xml:space="preserve">Input VAT can be reclaimed only if the employer </w:t>
      </w:r>
      <w:r w:rsidRPr="00662A4B">
        <w:rPr>
          <w:rFonts w:ascii="Aptos Narrow" w:eastAsia="Times New Roman" w:hAnsi="Aptos Narrow" w:cs="Times New Roman"/>
          <w:b/>
          <w:bCs/>
          <w:color w:val="000000"/>
          <w:kern w:val="0"/>
          <w:lang w:val="en-BE" w:eastAsia="en-BE"/>
          <w14:ligatures w14:val="none"/>
        </w:rPr>
        <w:t>remains the economic owner</w:t>
      </w:r>
      <w:r w:rsidRPr="00662A4B">
        <w:rPr>
          <w:rFonts w:ascii="Aptos Narrow" w:eastAsia="Times New Roman" w:hAnsi="Aptos Narrow" w:cs="Times New Roman"/>
          <w:color w:val="000000"/>
          <w:kern w:val="0"/>
          <w:lang w:val="en-BE" w:eastAsia="en-BE"/>
          <w14:ligatures w14:val="none"/>
        </w:rPr>
        <w:t xml:space="preserve"> of the equipment. If employees purchase equipment and the employer reimburses without transfer of ownership, VAT recovery is typically </w:t>
      </w:r>
      <w:r w:rsidRPr="00662A4B">
        <w:rPr>
          <w:rFonts w:ascii="Aptos Narrow" w:eastAsia="Times New Roman" w:hAnsi="Aptos Narrow" w:cs="Times New Roman"/>
          <w:b/>
          <w:bCs/>
          <w:color w:val="000000"/>
          <w:kern w:val="0"/>
          <w:lang w:val="en-BE" w:eastAsia="en-BE"/>
          <w14:ligatures w14:val="none"/>
        </w:rPr>
        <w:t>not allowed</w:t>
      </w:r>
      <w:r w:rsidRPr="00662A4B">
        <w:rPr>
          <w:rFonts w:ascii="Aptos Narrow" w:eastAsia="Times New Roman" w:hAnsi="Aptos Narrow" w:cs="Times New Roman"/>
          <w:color w:val="000000"/>
          <w:kern w:val="0"/>
          <w:lang w:val="en-BE" w:eastAsia="en-BE"/>
          <w14:ligatures w14:val="none"/>
        </w:rPr>
        <w:t>. For employer-purchased assets used at home, recovery is allowed if the item is used primarily for business purposes and depreciation rules are followed.</w:t>
      </w:r>
    </w:p>
    <w:p w14:paraId="7C8E6D74" w14:textId="77777777" w:rsidR="00662A4B" w:rsidRPr="00662A4B" w:rsidRDefault="00662A4B">
      <w:pPr>
        <w:rPr>
          <w:lang w:val="en-BE"/>
        </w:rPr>
      </w:pPr>
    </w:p>
    <w:sectPr w:rsidR="00662A4B" w:rsidRPr="00662A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A4B"/>
    <w:rsid w:val="006269B9"/>
    <w:rsid w:val="00662A4B"/>
    <w:rsid w:val="00B6268B"/>
    <w:rsid w:val="00DB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DA798"/>
  <w15:chartTrackingRefBased/>
  <w15:docId w15:val="{E0A04EA1-01E2-4273-8B09-2B2EF29A1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A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A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A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A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A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A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A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A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A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A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A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D3E02206174B4289C1E28736F3C023" ma:contentTypeVersion="10" ma:contentTypeDescription="Create a new document." ma:contentTypeScope="" ma:versionID="616a5147885506523311e60618f59d05">
  <xsd:schema xmlns:xsd="http://www.w3.org/2001/XMLSchema" xmlns:xs="http://www.w3.org/2001/XMLSchema" xmlns:p="http://schemas.microsoft.com/office/2006/metadata/properties" xmlns:ns2="260966ef-3fe7-4431-a420-f273be783349" xmlns:ns3="1868503a-717b-458e-82c1-b914f0238764" targetNamespace="http://schemas.microsoft.com/office/2006/metadata/properties" ma:root="true" ma:fieldsID="27979d77e38fb4b8c833737de7b1a746" ns2:_="" ns3:_="">
    <xsd:import namespace="260966ef-3fe7-4431-a420-f273be783349"/>
    <xsd:import namespace="1868503a-717b-458e-82c1-b914f02387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0966ef-3fe7-4431-a420-f273be7833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68503a-717b-458e-82c1-b914f023876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8D956BC-24BC-4BC2-A7E5-D9EAF8AFC067}"/>
</file>

<file path=customXml/itemProps2.xml><?xml version="1.0" encoding="utf-8"?>
<ds:datastoreItem xmlns:ds="http://schemas.openxmlformats.org/officeDocument/2006/customXml" ds:itemID="{60C0816E-2076-49B2-A41A-B8AD0BFCE841}"/>
</file>

<file path=customXml/itemProps3.xml><?xml version="1.0" encoding="utf-8"?>
<ds:datastoreItem xmlns:ds="http://schemas.openxmlformats.org/officeDocument/2006/customXml" ds:itemID="{6BFFC3F1-7316-471F-9F6E-4276480F1CD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 Van Rousselt</dc:creator>
  <cp:keywords/>
  <dc:description/>
  <cp:lastModifiedBy>Rick  Van Rousselt</cp:lastModifiedBy>
  <cp:revision>1</cp:revision>
  <dcterms:created xsi:type="dcterms:W3CDTF">2025-12-02T08:06:00Z</dcterms:created>
  <dcterms:modified xsi:type="dcterms:W3CDTF">2025-12-02T08:06:00Z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5023db27-31fe-4642-9583-e55a52fc8732</vt:lpwstr>
  </property>
  <property fmtid="{D5CDD505-2E9C-101B-9397-08002B2CF9AE}" pid="3" name="ContentTypeId">
    <vt:lpwstr>0x01010082D3E02206174B4289C1E28736F3C023</vt:lpwstr>
  </property>
</Properties>
</file>