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C976" w14:textId="0AB1876D" w:rsidR="001423E2" w:rsidRPr="00494FD5" w:rsidRDefault="003C4BC0" w:rsidP="00531C69">
      <w:pPr>
        <w:jc w:val="center"/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</w:pPr>
      <w:r w:rsidRPr="00494FD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USDA’s Economic Research Service </w:t>
      </w:r>
      <w:r w:rsidRPr="00494FD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Report</w:t>
      </w:r>
    </w:p>
    <w:p w14:paraId="7314FCD2" w14:textId="77777777" w:rsidR="003C4BC0" w:rsidRDefault="003C4BC0" w:rsidP="003C4BC0">
      <w:pP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</w:p>
    <w:p w14:paraId="3B48EF25" w14:textId="61A588C2" w:rsidR="003C4BC0" w:rsidRDefault="002177BC" w:rsidP="002149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94FD5" w:rsidRPr="00494FD5">
        <w:rPr>
          <w:sz w:val="24"/>
          <w:szCs w:val="24"/>
        </w:rPr>
        <w:t>USDA's Economic Research Service</w:t>
      </w:r>
      <w:r w:rsidR="00494FD5">
        <w:rPr>
          <w:sz w:val="24"/>
          <w:szCs w:val="24"/>
        </w:rPr>
        <w:t xml:space="preserve"> plays a pivotal role in </w:t>
      </w:r>
      <w:r w:rsidR="00FA0A62">
        <w:rPr>
          <w:sz w:val="24"/>
          <w:szCs w:val="24"/>
        </w:rPr>
        <w:t>analyzing trend</w:t>
      </w:r>
      <w:r w:rsidR="00631BF7">
        <w:rPr>
          <w:sz w:val="24"/>
          <w:szCs w:val="24"/>
        </w:rPr>
        <w:t xml:space="preserve">s in </w:t>
      </w:r>
      <w:r w:rsidR="00433A38">
        <w:rPr>
          <w:sz w:val="24"/>
          <w:szCs w:val="24"/>
        </w:rPr>
        <w:t xml:space="preserve">the agriculture and food sector in </w:t>
      </w:r>
      <w:r w:rsidR="008D5142">
        <w:rPr>
          <w:sz w:val="24"/>
          <w:szCs w:val="24"/>
        </w:rPr>
        <w:t>rural</w:t>
      </w:r>
      <w:r w:rsidR="00433A38">
        <w:rPr>
          <w:sz w:val="24"/>
          <w:szCs w:val="24"/>
        </w:rPr>
        <w:t xml:space="preserve"> America, as well as assessing </w:t>
      </w:r>
      <w:r w:rsidR="0093354B">
        <w:rPr>
          <w:sz w:val="24"/>
          <w:szCs w:val="24"/>
        </w:rPr>
        <w:t>the well-being</w:t>
      </w:r>
      <w:r w:rsidR="00264FEF">
        <w:rPr>
          <w:sz w:val="24"/>
          <w:szCs w:val="24"/>
        </w:rPr>
        <w:t xml:space="preserve"> of farm businesses</w:t>
      </w:r>
      <w:r w:rsidR="008D5142">
        <w:rPr>
          <w:sz w:val="24"/>
          <w:szCs w:val="24"/>
        </w:rPr>
        <w:t xml:space="preserve">. </w:t>
      </w:r>
      <w:r w:rsidR="00A34898" w:rsidRPr="00A34898">
        <w:rPr>
          <w:sz w:val="24"/>
          <w:szCs w:val="24"/>
        </w:rPr>
        <w:t>The USDA’s Agricultural Resource Management Survey (ARMS)</w:t>
      </w:r>
      <w:r w:rsidR="00E75F2B">
        <w:rPr>
          <w:sz w:val="24"/>
          <w:szCs w:val="24"/>
        </w:rPr>
        <w:t xml:space="preserve"> examines the best pr</w:t>
      </w:r>
      <w:r w:rsidR="00376130">
        <w:rPr>
          <w:sz w:val="24"/>
          <w:szCs w:val="24"/>
        </w:rPr>
        <w:t>oduction practices, financial condition and r</w:t>
      </w:r>
      <w:r w:rsidR="000D0C5A">
        <w:rPr>
          <w:sz w:val="24"/>
          <w:szCs w:val="24"/>
        </w:rPr>
        <w:t>esources utilized in the agriculture sector in the United States</w:t>
      </w:r>
      <w:r w:rsidR="00096E6B">
        <w:rPr>
          <w:sz w:val="24"/>
          <w:szCs w:val="24"/>
        </w:rPr>
        <w:t xml:space="preserve"> so that </w:t>
      </w:r>
      <w:r w:rsidR="004701D0">
        <w:rPr>
          <w:sz w:val="24"/>
          <w:szCs w:val="24"/>
        </w:rPr>
        <w:t xml:space="preserve">policy makers can elaborate better practices, </w:t>
      </w:r>
      <w:r w:rsidR="00AF42BF">
        <w:rPr>
          <w:sz w:val="24"/>
          <w:szCs w:val="24"/>
        </w:rPr>
        <w:t>suggestions,</w:t>
      </w:r>
      <w:r>
        <w:rPr>
          <w:sz w:val="24"/>
          <w:szCs w:val="24"/>
        </w:rPr>
        <w:t xml:space="preserve"> </w:t>
      </w:r>
      <w:r w:rsidR="004701D0">
        <w:rPr>
          <w:sz w:val="24"/>
          <w:szCs w:val="24"/>
        </w:rPr>
        <w:t>or strategies in order to enhance the sector.</w:t>
      </w:r>
    </w:p>
    <w:p w14:paraId="0C1B388B" w14:textId="77777777" w:rsidR="004701D0" w:rsidRDefault="004701D0" w:rsidP="00214980">
      <w:pPr>
        <w:jc w:val="both"/>
        <w:rPr>
          <w:sz w:val="24"/>
          <w:szCs w:val="24"/>
        </w:rPr>
      </w:pPr>
    </w:p>
    <w:p w14:paraId="324E0A45" w14:textId="4974A8F4" w:rsidR="002177BC" w:rsidRDefault="0061493D" w:rsidP="00214980">
      <w:pPr>
        <w:jc w:val="both"/>
        <w:rPr>
          <w:sz w:val="24"/>
          <w:szCs w:val="24"/>
        </w:rPr>
      </w:pPr>
      <w:r>
        <w:rPr>
          <w:sz w:val="24"/>
          <w:szCs w:val="24"/>
        </w:rPr>
        <w:t>A brief analysis</w:t>
      </w:r>
      <w:r w:rsidR="005F4B45">
        <w:rPr>
          <w:sz w:val="24"/>
          <w:szCs w:val="24"/>
        </w:rPr>
        <w:t xml:space="preserve"> divided in two parts</w:t>
      </w:r>
      <w:r>
        <w:rPr>
          <w:sz w:val="24"/>
          <w:szCs w:val="24"/>
        </w:rPr>
        <w:t xml:space="preserve"> was performed by using the ARMS report </w:t>
      </w:r>
      <w:r w:rsidRPr="0061493D">
        <w:rPr>
          <w:sz w:val="24"/>
          <w:szCs w:val="24"/>
        </w:rPr>
        <w:t>Structural Characteristics</w:t>
      </w:r>
      <w:r w:rsidR="00FF3A45">
        <w:rPr>
          <w:sz w:val="24"/>
          <w:szCs w:val="24"/>
        </w:rPr>
        <w:t xml:space="preserve"> with the variables</w:t>
      </w:r>
      <w:r w:rsidR="00F27079">
        <w:rPr>
          <w:sz w:val="24"/>
          <w:szCs w:val="24"/>
        </w:rPr>
        <w:t>:</w:t>
      </w:r>
    </w:p>
    <w:p w14:paraId="0EF3FBBE" w14:textId="33C3ACFB" w:rsidR="00F27079" w:rsidRDefault="00F27079" w:rsidP="00F2707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27079">
        <w:rPr>
          <w:sz w:val="24"/>
          <w:szCs w:val="24"/>
        </w:rPr>
        <w:t>Total value of production</w:t>
      </w:r>
      <w:r>
        <w:rPr>
          <w:sz w:val="24"/>
          <w:szCs w:val="24"/>
        </w:rPr>
        <w:t xml:space="preserve"> expressed in 1000 usd.</w:t>
      </w:r>
    </w:p>
    <w:p w14:paraId="65582521" w14:textId="711B9E04" w:rsidR="00F27079" w:rsidRDefault="00963F6F" w:rsidP="00F2707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63F6F">
        <w:rPr>
          <w:sz w:val="24"/>
          <w:szCs w:val="24"/>
        </w:rPr>
        <w:t>Total acres operated</w:t>
      </w:r>
      <w:r>
        <w:rPr>
          <w:sz w:val="24"/>
          <w:szCs w:val="24"/>
        </w:rPr>
        <w:t xml:space="preserve"> expressed in 1000 acres.</w:t>
      </w:r>
    </w:p>
    <w:p w14:paraId="064FF6BC" w14:textId="77777777" w:rsidR="00963F6F" w:rsidRDefault="00963F6F" w:rsidP="00963F6F">
      <w:pPr>
        <w:jc w:val="both"/>
        <w:rPr>
          <w:sz w:val="24"/>
          <w:szCs w:val="24"/>
        </w:rPr>
      </w:pPr>
    </w:p>
    <w:p w14:paraId="1257A371" w14:textId="0E1720B9" w:rsidR="00672444" w:rsidRPr="00B435F2" w:rsidRDefault="008661B5" w:rsidP="00B435F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acres operated by year.</w:t>
      </w:r>
    </w:p>
    <w:p w14:paraId="34A90940" w14:textId="77777777" w:rsidR="005F4B45" w:rsidRDefault="005F4B45" w:rsidP="00963F6F">
      <w:pPr>
        <w:jc w:val="both"/>
        <w:rPr>
          <w:b/>
          <w:bCs/>
          <w:sz w:val="24"/>
          <w:szCs w:val="24"/>
        </w:rPr>
      </w:pPr>
    </w:p>
    <w:p w14:paraId="3FF8B7B9" w14:textId="77777777" w:rsidR="00C2554F" w:rsidRDefault="00C2554F" w:rsidP="00963F6F">
      <w:pPr>
        <w:jc w:val="both"/>
        <w:rPr>
          <w:b/>
          <w:bCs/>
          <w:sz w:val="24"/>
          <w:szCs w:val="24"/>
        </w:rPr>
      </w:pPr>
    </w:p>
    <w:p w14:paraId="62BFDA97" w14:textId="0E3974A6" w:rsidR="003F0971" w:rsidRDefault="003F0971" w:rsidP="00CF617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D3CC1F8" wp14:editId="72FC230F">
            <wp:extent cx="4061460" cy="3219284"/>
            <wp:effectExtent l="0" t="0" r="0" b="635"/>
            <wp:docPr id="2011154827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54827" name="Picture 1" descr="A graph of blue ba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188" cy="322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EE68" w14:textId="6B8F73C9" w:rsidR="002C423E" w:rsidRDefault="002C423E" w:rsidP="00CF6173">
      <w:pPr>
        <w:jc w:val="right"/>
        <w:rPr>
          <w:sz w:val="24"/>
          <w:szCs w:val="24"/>
        </w:rPr>
      </w:pPr>
      <w:r>
        <w:rPr>
          <w:sz w:val="24"/>
          <w:szCs w:val="24"/>
        </w:rPr>
        <w:t>Extracted in Python.</w:t>
      </w:r>
    </w:p>
    <w:p w14:paraId="0344C693" w14:textId="29368E42" w:rsidR="003249CC" w:rsidRDefault="003E5DA6" w:rsidP="003249C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chart is </w:t>
      </w:r>
      <w:r w:rsidR="002D4D53">
        <w:rPr>
          <w:sz w:val="24"/>
          <w:szCs w:val="24"/>
        </w:rPr>
        <w:t>partitioned</w:t>
      </w:r>
      <w:r w:rsidR="00E72C0B">
        <w:rPr>
          <w:sz w:val="24"/>
          <w:szCs w:val="24"/>
        </w:rPr>
        <w:t xml:space="preserve"> into 6 years, from 2011 to 2016</w:t>
      </w:r>
      <w:r w:rsidR="007C1E8F">
        <w:rPr>
          <w:sz w:val="24"/>
          <w:szCs w:val="24"/>
        </w:rPr>
        <w:t xml:space="preserve">, where </w:t>
      </w:r>
      <w:r w:rsidR="00C2762B">
        <w:rPr>
          <w:sz w:val="24"/>
          <w:szCs w:val="24"/>
        </w:rPr>
        <w:t>the estimated</w:t>
      </w:r>
      <w:r w:rsidR="002E622E">
        <w:rPr>
          <w:sz w:val="24"/>
          <w:szCs w:val="24"/>
        </w:rPr>
        <w:t xml:space="preserve"> number of acres operated peaked in</w:t>
      </w:r>
      <w:r w:rsidR="00382C60">
        <w:rPr>
          <w:sz w:val="24"/>
          <w:szCs w:val="24"/>
        </w:rPr>
        <w:t xml:space="preserve"> year 2014</w:t>
      </w:r>
      <w:r w:rsidR="0029382E">
        <w:rPr>
          <w:sz w:val="24"/>
          <w:szCs w:val="24"/>
        </w:rPr>
        <w:t>. As seen in the chart</w:t>
      </w:r>
      <w:r w:rsidR="00496E75">
        <w:rPr>
          <w:sz w:val="24"/>
          <w:szCs w:val="24"/>
        </w:rPr>
        <w:t xml:space="preserve">, </w:t>
      </w:r>
      <w:r w:rsidR="007E661F">
        <w:rPr>
          <w:sz w:val="24"/>
          <w:szCs w:val="24"/>
        </w:rPr>
        <w:t>there is a positive trend from</w:t>
      </w:r>
      <w:r w:rsidR="00B07BA9">
        <w:rPr>
          <w:sz w:val="24"/>
          <w:szCs w:val="24"/>
        </w:rPr>
        <w:t xml:space="preserve"> 2011</w:t>
      </w:r>
      <w:r w:rsidR="007F5CB4">
        <w:rPr>
          <w:sz w:val="24"/>
          <w:szCs w:val="24"/>
        </w:rPr>
        <w:t xml:space="preserve"> to 2014,</w:t>
      </w:r>
      <w:r w:rsidR="00756E8B">
        <w:rPr>
          <w:sz w:val="24"/>
          <w:szCs w:val="24"/>
        </w:rPr>
        <w:t xml:space="preserve"> then the estimated number of acres declined in 20</w:t>
      </w:r>
      <w:r w:rsidR="00D125AD">
        <w:rPr>
          <w:sz w:val="24"/>
          <w:szCs w:val="24"/>
        </w:rPr>
        <w:t>15 which registered the lowest record in the analysis</w:t>
      </w:r>
      <w:r w:rsidR="00317C36">
        <w:rPr>
          <w:sz w:val="24"/>
          <w:szCs w:val="24"/>
        </w:rPr>
        <w:t xml:space="preserve"> to posteriorly </w:t>
      </w:r>
      <w:r w:rsidR="0006659A">
        <w:rPr>
          <w:sz w:val="24"/>
          <w:szCs w:val="24"/>
        </w:rPr>
        <w:t xml:space="preserve">increase in 2016, nearly to </w:t>
      </w:r>
      <w:r w:rsidR="00B419C0">
        <w:rPr>
          <w:sz w:val="24"/>
          <w:szCs w:val="24"/>
        </w:rPr>
        <w:t>levels registered in 2011.</w:t>
      </w:r>
    </w:p>
    <w:p w14:paraId="38C991A5" w14:textId="77777777" w:rsidR="00B419C0" w:rsidRDefault="00B419C0" w:rsidP="003249CC">
      <w:pPr>
        <w:jc w:val="both"/>
        <w:rPr>
          <w:sz w:val="24"/>
          <w:szCs w:val="24"/>
        </w:rPr>
      </w:pPr>
    </w:p>
    <w:p w14:paraId="1D24962C" w14:textId="6BD36BCC" w:rsidR="00B419C0" w:rsidRDefault="0064320D" w:rsidP="003249CC">
      <w:pPr>
        <w:jc w:val="both"/>
        <w:rPr>
          <w:sz w:val="24"/>
          <w:szCs w:val="24"/>
        </w:rPr>
      </w:pPr>
      <w:r>
        <w:rPr>
          <w:sz w:val="24"/>
          <w:szCs w:val="24"/>
        </w:rPr>
        <w:t>Additionally, the chart</w:t>
      </w:r>
      <w:r w:rsidR="00411CE5">
        <w:rPr>
          <w:sz w:val="24"/>
          <w:szCs w:val="24"/>
        </w:rPr>
        <w:t xml:space="preserve"> </w:t>
      </w:r>
      <w:r w:rsidR="005D3DE2">
        <w:rPr>
          <w:sz w:val="24"/>
          <w:szCs w:val="24"/>
        </w:rPr>
        <w:t>displays</w:t>
      </w:r>
      <w:r w:rsidR="00411CE5">
        <w:rPr>
          <w:sz w:val="24"/>
          <w:szCs w:val="24"/>
        </w:rPr>
        <w:t xml:space="preserve"> a certain stability in the estimated number of acres</w:t>
      </w:r>
      <w:r w:rsidR="00B1221B">
        <w:rPr>
          <w:sz w:val="24"/>
          <w:szCs w:val="24"/>
        </w:rPr>
        <w:t xml:space="preserve"> throughout the study period,</w:t>
      </w:r>
      <w:r w:rsidR="009E7B0B">
        <w:rPr>
          <w:sz w:val="24"/>
          <w:szCs w:val="24"/>
        </w:rPr>
        <w:t xml:space="preserve"> it maintained over 800000</w:t>
      </w:r>
      <w:r w:rsidR="00B644A2">
        <w:rPr>
          <w:sz w:val="24"/>
          <w:szCs w:val="24"/>
        </w:rPr>
        <w:t xml:space="preserve"> in the six years</w:t>
      </w:r>
      <w:r w:rsidR="005D3DE2">
        <w:rPr>
          <w:sz w:val="24"/>
          <w:szCs w:val="24"/>
        </w:rPr>
        <w:t>. Ho</w:t>
      </w:r>
      <w:r w:rsidR="006E6078">
        <w:rPr>
          <w:sz w:val="24"/>
          <w:szCs w:val="24"/>
        </w:rPr>
        <w:t>wever,</w:t>
      </w:r>
      <w:r w:rsidR="00F74914">
        <w:rPr>
          <w:sz w:val="24"/>
          <w:szCs w:val="24"/>
        </w:rPr>
        <w:t xml:space="preserve"> it’s important to note that</w:t>
      </w:r>
      <w:r w:rsidR="00E67158">
        <w:rPr>
          <w:sz w:val="24"/>
          <w:szCs w:val="24"/>
        </w:rPr>
        <w:t xml:space="preserve"> after</w:t>
      </w:r>
      <w:r w:rsidR="00703649">
        <w:rPr>
          <w:sz w:val="24"/>
          <w:szCs w:val="24"/>
        </w:rPr>
        <w:t xml:space="preserve"> an important peak, the number declines in the following year</w:t>
      </w:r>
      <w:r w:rsidR="002F3AD3">
        <w:rPr>
          <w:sz w:val="24"/>
          <w:szCs w:val="24"/>
        </w:rPr>
        <w:t xml:space="preserve"> and posteriorly increase the year after, </w:t>
      </w:r>
      <w:r w:rsidR="008C3763">
        <w:rPr>
          <w:sz w:val="24"/>
          <w:szCs w:val="24"/>
        </w:rPr>
        <w:t>for example from 2011 to 2014 and then from 2014 to 2016</w:t>
      </w:r>
      <w:r w:rsidR="009E530D">
        <w:rPr>
          <w:sz w:val="24"/>
          <w:szCs w:val="24"/>
        </w:rPr>
        <w:t xml:space="preserve"> but always above 800000 number of acres.</w:t>
      </w:r>
    </w:p>
    <w:p w14:paraId="3155FD3D" w14:textId="77777777" w:rsidR="003249CC" w:rsidRDefault="003249CC" w:rsidP="00CF6173">
      <w:pPr>
        <w:jc w:val="right"/>
        <w:rPr>
          <w:sz w:val="24"/>
          <w:szCs w:val="24"/>
        </w:rPr>
      </w:pPr>
    </w:p>
    <w:p w14:paraId="1C731A98" w14:textId="4A4037C5" w:rsidR="00C2554F" w:rsidRPr="003249CC" w:rsidRDefault="003249CC" w:rsidP="003249C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value of production in year 2014.</w:t>
      </w:r>
    </w:p>
    <w:p w14:paraId="378C22B2" w14:textId="77777777" w:rsidR="00D934BA" w:rsidRDefault="00D934BA" w:rsidP="00C2554F">
      <w:pPr>
        <w:jc w:val="both"/>
        <w:rPr>
          <w:b/>
          <w:bCs/>
          <w:sz w:val="24"/>
          <w:szCs w:val="24"/>
        </w:rPr>
      </w:pPr>
    </w:p>
    <w:p w14:paraId="7D833350" w14:textId="6667E2ED" w:rsidR="00D934BA" w:rsidRDefault="00D934BA" w:rsidP="00DD1C2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799D2D" wp14:editId="6237C810">
            <wp:extent cx="3557023" cy="3739903"/>
            <wp:effectExtent l="0" t="0" r="5715" b="0"/>
            <wp:docPr id="1069451239" name="Picture 2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51239" name="Picture 2" descr="A pie chart with different colored circl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023" cy="37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4878" w14:textId="5C12969F" w:rsidR="002D4D53" w:rsidRDefault="00C11C46" w:rsidP="00DD1C2D">
      <w:pPr>
        <w:jc w:val="center"/>
        <w:rPr>
          <w:b/>
          <w:bCs/>
          <w:sz w:val="24"/>
          <w:szCs w:val="24"/>
        </w:rPr>
      </w:pPr>
      <w:r w:rsidRPr="00C11C46">
        <w:rPr>
          <w:b/>
          <w:bCs/>
          <w:sz w:val="24"/>
          <w:szCs w:val="24"/>
        </w:rPr>
        <w:drawing>
          <wp:inline distT="0" distB="0" distL="0" distR="0" wp14:anchorId="50292FCC" wp14:editId="10F7B563">
            <wp:extent cx="3093720" cy="853692"/>
            <wp:effectExtent l="0" t="0" r="0" b="3810"/>
            <wp:docPr id="315535167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35167" name="Picture 1" descr="A number and number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706" cy="86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E8E6" w14:textId="4A9D4F47" w:rsidR="007D047A" w:rsidRPr="00D06F35" w:rsidRDefault="00D06F35" w:rsidP="00DD1C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This chart represents the distribution of estimated total value of production in year 2014</w:t>
      </w:r>
      <w:r w:rsidR="00C55095">
        <w:rPr>
          <w:sz w:val="24"/>
          <w:szCs w:val="24"/>
        </w:rPr>
        <w:t xml:space="preserve"> which is the year with the highest </w:t>
      </w:r>
      <w:r w:rsidR="00D65DEF">
        <w:rPr>
          <w:sz w:val="24"/>
          <w:szCs w:val="24"/>
        </w:rPr>
        <w:t>total value between 2011 and 2016.</w:t>
      </w:r>
      <w:r w:rsidR="0092451C">
        <w:rPr>
          <w:sz w:val="24"/>
          <w:szCs w:val="24"/>
        </w:rPr>
        <w:t xml:space="preserve"> The data was split into quartiles</w:t>
      </w:r>
      <w:r w:rsidR="00125915">
        <w:rPr>
          <w:sz w:val="24"/>
          <w:szCs w:val="24"/>
        </w:rPr>
        <w:t xml:space="preserve">, in this way obtained a better outlook on </w:t>
      </w:r>
      <w:r w:rsidR="00DE6FF8">
        <w:rPr>
          <w:sz w:val="24"/>
          <w:szCs w:val="24"/>
        </w:rPr>
        <w:t xml:space="preserve">how many registers fall in the </w:t>
      </w:r>
      <w:r w:rsidR="00911C67">
        <w:rPr>
          <w:sz w:val="24"/>
          <w:szCs w:val="24"/>
        </w:rPr>
        <w:t xml:space="preserve">0%-25%, </w:t>
      </w:r>
      <w:r w:rsidR="00FE32F3">
        <w:rPr>
          <w:sz w:val="24"/>
          <w:szCs w:val="24"/>
        </w:rPr>
        <w:t>26%-50%, 51%-75% and 76%-100%</w:t>
      </w:r>
      <w:r w:rsidR="007D047A">
        <w:rPr>
          <w:sz w:val="24"/>
          <w:szCs w:val="24"/>
        </w:rPr>
        <w:t xml:space="preserve"> of the estimated values of production.</w:t>
      </w:r>
    </w:p>
    <w:p w14:paraId="5A2D7A20" w14:textId="77777777" w:rsidR="00334AB2" w:rsidRPr="00C2554F" w:rsidRDefault="00334AB2" w:rsidP="00DD1C2D">
      <w:pPr>
        <w:rPr>
          <w:b/>
          <w:bCs/>
          <w:sz w:val="24"/>
          <w:szCs w:val="24"/>
        </w:rPr>
      </w:pPr>
    </w:p>
    <w:p w14:paraId="5D131554" w14:textId="63F138F1" w:rsidR="00677743" w:rsidRPr="00D000CB" w:rsidRDefault="00677743" w:rsidP="00D000C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000CB">
        <w:rPr>
          <w:sz w:val="24"/>
          <w:szCs w:val="24"/>
        </w:rPr>
        <w:t xml:space="preserve">The first quartile, represented by the range (0.0, 3607745.75], contains 5 </w:t>
      </w:r>
      <w:r w:rsidR="00D000CB">
        <w:rPr>
          <w:sz w:val="24"/>
          <w:szCs w:val="24"/>
        </w:rPr>
        <w:t>registers</w:t>
      </w:r>
      <w:r w:rsidRPr="00D000CB">
        <w:rPr>
          <w:sz w:val="24"/>
          <w:szCs w:val="24"/>
        </w:rPr>
        <w:t>.</w:t>
      </w:r>
    </w:p>
    <w:p w14:paraId="40262F07" w14:textId="1327D3C9" w:rsidR="00677743" w:rsidRPr="00D000CB" w:rsidRDefault="00677743" w:rsidP="00D000C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000CB">
        <w:rPr>
          <w:sz w:val="24"/>
          <w:szCs w:val="24"/>
        </w:rPr>
        <w:t xml:space="preserve">The second quartile, represented by the range (3607745.75, 7671542.0], contains 7 </w:t>
      </w:r>
      <w:r w:rsidR="00D000CB">
        <w:rPr>
          <w:sz w:val="24"/>
          <w:szCs w:val="24"/>
        </w:rPr>
        <w:t>registers</w:t>
      </w:r>
      <w:r w:rsidRPr="00D000CB">
        <w:rPr>
          <w:sz w:val="24"/>
          <w:szCs w:val="24"/>
        </w:rPr>
        <w:t>.</w:t>
      </w:r>
    </w:p>
    <w:p w14:paraId="13E6EE85" w14:textId="2C802939" w:rsidR="00677743" w:rsidRPr="00D000CB" w:rsidRDefault="00677743" w:rsidP="00D000C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000CB">
        <w:rPr>
          <w:sz w:val="24"/>
          <w:szCs w:val="24"/>
        </w:rPr>
        <w:t xml:space="preserve">The third quartile, represented by the range (7671542.0, 13093219.25], contains 7 </w:t>
      </w:r>
      <w:r w:rsidR="00DD1C2D">
        <w:rPr>
          <w:sz w:val="24"/>
          <w:szCs w:val="24"/>
        </w:rPr>
        <w:t>registers</w:t>
      </w:r>
      <w:r w:rsidRPr="00D000CB">
        <w:rPr>
          <w:sz w:val="24"/>
          <w:szCs w:val="24"/>
        </w:rPr>
        <w:t>.</w:t>
      </w:r>
    </w:p>
    <w:p w14:paraId="6C2A2296" w14:textId="00C5CF3C" w:rsidR="00C2554F" w:rsidRPr="00D000CB" w:rsidRDefault="00677743" w:rsidP="00D000CB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000CB">
        <w:rPr>
          <w:sz w:val="24"/>
          <w:szCs w:val="24"/>
        </w:rPr>
        <w:t xml:space="preserve">The fourth quartile, represented by the range (13093219.25, 114480641.0], contains 6 </w:t>
      </w:r>
      <w:r w:rsidR="00DD1C2D">
        <w:rPr>
          <w:sz w:val="24"/>
          <w:szCs w:val="24"/>
        </w:rPr>
        <w:t>registers</w:t>
      </w:r>
      <w:r w:rsidRPr="00D000CB">
        <w:rPr>
          <w:sz w:val="24"/>
          <w:szCs w:val="24"/>
        </w:rPr>
        <w:t>.</w:t>
      </w:r>
    </w:p>
    <w:p w14:paraId="081B9375" w14:textId="77777777" w:rsidR="002C423E" w:rsidRDefault="002C423E" w:rsidP="00963F6F">
      <w:pPr>
        <w:jc w:val="both"/>
        <w:rPr>
          <w:sz w:val="24"/>
          <w:szCs w:val="24"/>
        </w:rPr>
      </w:pPr>
    </w:p>
    <w:p w14:paraId="56C45860" w14:textId="2B696BD5" w:rsidR="002C423E" w:rsidRDefault="00151CAD" w:rsidP="00963F6F">
      <w:pPr>
        <w:jc w:val="both"/>
        <w:rPr>
          <w:sz w:val="24"/>
          <w:szCs w:val="24"/>
        </w:rPr>
      </w:pPr>
      <w:r w:rsidRPr="00151CAD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chart </w:t>
      </w:r>
      <w:r w:rsidRPr="00151CAD">
        <w:rPr>
          <w:sz w:val="24"/>
          <w:szCs w:val="24"/>
        </w:rPr>
        <w:t xml:space="preserve">suggests that most </w:t>
      </w:r>
      <w:r>
        <w:rPr>
          <w:sz w:val="24"/>
          <w:szCs w:val="24"/>
        </w:rPr>
        <w:t>registers</w:t>
      </w:r>
      <w:r w:rsidRPr="00151CAD">
        <w:rPr>
          <w:sz w:val="24"/>
          <w:szCs w:val="24"/>
        </w:rPr>
        <w:t xml:space="preserve"> are concentrated in the third quartile with </w:t>
      </w:r>
      <w:r w:rsidR="00393253">
        <w:rPr>
          <w:sz w:val="24"/>
          <w:szCs w:val="24"/>
        </w:rPr>
        <w:t>estimated values</w:t>
      </w:r>
      <w:r w:rsidRPr="00151CAD">
        <w:rPr>
          <w:sz w:val="24"/>
          <w:szCs w:val="24"/>
        </w:rPr>
        <w:t xml:space="preserve"> falling within the range of 7,671,542.0 to 13,093,219.25. Meanwhile, the second and fourth quartiles have similar counts, indicating a</w:t>
      </w:r>
      <w:r w:rsidR="005501AA">
        <w:rPr>
          <w:sz w:val="24"/>
          <w:szCs w:val="24"/>
        </w:rPr>
        <w:t>n</w:t>
      </w:r>
      <w:r w:rsidRPr="00151CAD">
        <w:rPr>
          <w:sz w:val="24"/>
          <w:szCs w:val="24"/>
        </w:rPr>
        <w:t xml:space="preserve"> even distribution between those with </w:t>
      </w:r>
      <w:r w:rsidR="00334AB2">
        <w:rPr>
          <w:sz w:val="24"/>
          <w:szCs w:val="24"/>
        </w:rPr>
        <w:t xml:space="preserve">values </w:t>
      </w:r>
      <w:r w:rsidRPr="00151CAD">
        <w:rPr>
          <w:sz w:val="24"/>
          <w:szCs w:val="24"/>
        </w:rPr>
        <w:t xml:space="preserve">in the range of 3,607,745.75 to 7,671,542.0 and those with higher </w:t>
      </w:r>
      <w:r w:rsidR="00334AB2">
        <w:rPr>
          <w:sz w:val="24"/>
          <w:szCs w:val="24"/>
        </w:rPr>
        <w:t>values</w:t>
      </w:r>
      <w:r w:rsidRPr="00151CAD">
        <w:rPr>
          <w:sz w:val="24"/>
          <w:szCs w:val="24"/>
        </w:rPr>
        <w:t xml:space="preserve"> between 13,093,219.25 and 114,480,641.0.</w:t>
      </w:r>
    </w:p>
    <w:p w14:paraId="13DB0427" w14:textId="77777777" w:rsidR="005B05F3" w:rsidRDefault="005B05F3" w:rsidP="00963F6F">
      <w:pPr>
        <w:jc w:val="both"/>
        <w:rPr>
          <w:sz w:val="24"/>
          <w:szCs w:val="24"/>
        </w:rPr>
      </w:pPr>
    </w:p>
    <w:p w14:paraId="761232C0" w14:textId="1F4A86C8" w:rsidR="005B05F3" w:rsidRPr="002C423E" w:rsidRDefault="001C5864" w:rsidP="00963F6F">
      <w:pPr>
        <w:jc w:val="both"/>
        <w:rPr>
          <w:sz w:val="24"/>
          <w:szCs w:val="24"/>
        </w:rPr>
      </w:pPr>
      <w:r>
        <w:rPr>
          <w:sz w:val="24"/>
          <w:szCs w:val="24"/>
        </w:rPr>
        <w:t>Additionally, the data suggests that</w:t>
      </w:r>
      <w:r w:rsidR="002F54E1">
        <w:rPr>
          <w:sz w:val="24"/>
          <w:szCs w:val="24"/>
        </w:rPr>
        <w:t xml:space="preserve"> most of the estimated values of production</w:t>
      </w:r>
      <w:r w:rsidR="00045CCD">
        <w:rPr>
          <w:sz w:val="24"/>
          <w:szCs w:val="24"/>
        </w:rPr>
        <w:t xml:space="preserve">s fall in the second half of the </w:t>
      </w:r>
      <w:r w:rsidR="0026149E">
        <w:rPr>
          <w:sz w:val="24"/>
          <w:szCs w:val="24"/>
        </w:rPr>
        <w:t>distribution</w:t>
      </w:r>
      <w:r w:rsidR="00045CCD">
        <w:rPr>
          <w:sz w:val="24"/>
          <w:szCs w:val="24"/>
        </w:rPr>
        <w:t xml:space="preserve"> (</w:t>
      </w:r>
      <w:r w:rsidR="003E0039">
        <w:rPr>
          <w:sz w:val="24"/>
          <w:szCs w:val="24"/>
        </w:rPr>
        <w:t xml:space="preserve">third and fourth quartiles), being the first </w:t>
      </w:r>
      <w:r w:rsidR="00B13A54">
        <w:rPr>
          <w:sz w:val="24"/>
          <w:szCs w:val="24"/>
        </w:rPr>
        <w:t>quartile, where</w:t>
      </w:r>
      <w:r w:rsidR="00E95BA9">
        <w:rPr>
          <w:sz w:val="24"/>
          <w:szCs w:val="24"/>
        </w:rPr>
        <w:t xml:space="preserve"> the lowest estimated values of total productions are located, the quarti</w:t>
      </w:r>
      <w:r w:rsidR="009C37D0">
        <w:rPr>
          <w:sz w:val="24"/>
          <w:szCs w:val="24"/>
        </w:rPr>
        <w:t>le with least observations or registers in the study.</w:t>
      </w:r>
    </w:p>
    <w:sectPr w:rsidR="005B05F3" w:rsidRPr="002C4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0C7D"/>
    <w:multiLevelType w:val="hybridMultilevel"/>
    <w:tmpl w:val="5D3AC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62D26"/>
    <w:multiLevelType w:val="hybridMultilevel"/>
    <w:tmpl w:val="B81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44467"/>
    <w:multiLevelType w:val="hybridMultilevel"/>
    <w:tmpl w:val="E206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20558">
    <w:abstractNumId w:val="2"/>
  </w:num>
  <w:num w:numId="2" w16cid:durableId="1869488044">
    <w:abstractNumId w:val="0"/>
  </w:num>
  <w:num w:numId="3" w16cid:durableId="1838108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46"/>
    <w:rsid w:val="00045CCD"/>
    <w:rsid w:val="0006659A"/>
    <w:rsid w:val="00096E6B"/>
    <w:rsid w:val="000A5945"/>
    <w:rsid w:val="000D0C5A"/>
    <w:rsid w:val="00125915"/>
    <w:rsid w:val="00126F5C"/>
    <w:rsid w:val="001423E2"/>
    <w:rsid w:val="00151CAD"/>
    <w:rsid w:val="001C5864"/>
    <w:rsid w:val="00214980"/>
    <w:rsid w:val="002177BC"/>
    <w:rsid w:val="0026149E"/>
    <w:rsid w:val="00264FEF"/>
    <w:rsid w:val="0029382E"/>
    <w:rsid w:val="002C423E"/>
    <w:rsid w:val="002D4D53"/>
    <w:rsid w:val="002E622E"/>
    <w:rsid w:val="002F3AD3"/>
    <w:rsid w:val="002F54E1"/>
    <w:rsid w:val="00317C36"/>
    <w:rsid w:val="003249CC"/>
    <w:rsid w:val="00334AB2"/>
    <w:rsid w:val="00334C19"/>
    <w:rsid w:val="00376130"/>
    <w:rsid w:val="0038052A"/>
    <w:rsid w:val="00382C60"/>
    <w:rsid w:val="00393253"/>
    <w:rsid w:val="003C4BC0"/>
    <w:rsid w:val="003E0039"/>
    <w:rsid w:val="003E5DA6"/>
    <w:rsid w:val="003F0971"/>
    <w:rsid w:val="00411CE5"/>
    <w:rsid w:val="00433A38"/>
    <w:rsid w:val="004701D0"/>
    <w:rsid w:val="00494FD5"/>
    <w:rsid w:val="00496E75"/>
    <w:rsid w:val="00531C69"/>
    <w:rsid w:val="005501AA"/>
    <w:rsid w:val="005A6B46"/>
    <w:rsid w:val="005B05F3"/>
    <w:rsid w:val="005D3DE2"/>
    <w:rsid w:val="005E53CD"/>
    <w:rsid w:val="005F4B45"/>
    <w:rsid w:val="0061493D"/>
    <w:rsid w:val="00631BF7"/>
    <w:rsid w:val="0064320D"/>
    <w:rsid w:val="00672444"/>
    <w:rsid w:val="00677743"/>
    <w:rsid w:val="00686116"/>
    <w:rsid w:val="006E6078"/>
    <w:rsid w:val="00703649"/>
    <w:rsid w:val="00756E8B"/>
    <w:rsid w:val="007C1E8F"/>
    <w:rsid w:val="007D047A"/>
    <w:rsid w:val="007E661F"/>
    <w:rsid w:val="007F5CB4"/>
    <w:rsid w:val="008661B5"/>
    <w:rsid w:val="008C3763"/>
    <w:rsid w:val="008D5142"/>
    <w:rsid w:val="00911C67"/>
    <w:rsid w:val="0092451C"/>
    <w:rsid w:val="0093354B"/>
    <w:rsid w:val="00963F6F"/>
    <w:rsid w:val="009C37D0"/>
    <w:rsid w:val="009E530D"/>
    <w:rsid w:val="009E7B0B"/>
    <w:rsid w:val="00A34898"/>
    <w:rsid w:val="00A95875"/>
    <w:rsid w:val="00AF42BF"/>
    <w:rsid w:val="00B07BA9"/>
    <w:rsid w:val="00B1221B"/>
    <w:rsid w:val="00B13A54"/>
    <w:rsid w:val="00B37440"/>
    <w:rsid w:val="00B419C0"/>
    <w:rsid w:val="00B435F2"/>
    <w:rsid w:val="00B644A2"/>
    <w:rsid w:val="00B8029B"/>
    <w:rsid w:val="00C11C46"/>
    <w:rsid w:val="00C2554F"/>
    <w:rsid w:val="00C2762B"/>
    <w:rsid w:val="00C55095"/>
    <w:rsid w:val="00CF6173"/>
    <w:rsid w:val="00D000CB"/>
    <w:rsid w:val="00D06F35"/>
    <w:rsid w:val="00D125AD"/>
    <w:rsid w:val="00D65DEF"/>
    <w:rsid w:val="00D934BA"/>
    <w:rsid w:val="00DD1C2D"/>
    <w:rsid w:val="00DE6FF8"/>
    <w:rsid w:val="00E67158"/>
    <w:rsid w:val="00E72C0B"/>
    <w:rsid w:val="00E75F2B"/>
    <w:rsid w:val="00E95BA9"/>
    <w:rsid w:val="00F27079"/>
    <w:rsid w:val="00F41961"/>
    <w:rsid w:val="00F74914"/>
    <w:rsid w:val="00FA0A62"/>
    <w:rsid w:val="00FE32F3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26CB"/>
  <w15:chartTrackingRefBased/>
  <w15:docId w15:val="{AEB512F6-FBA7-4AB0-A9D2-140A6554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Andrés Maceiras Fernández</dc:creator>
  <cp:keywords/>
  <dc:description/>
  <cp:lastModifiedBy>Ricardo Andrés Maceiras Fernández</cp:lastModifiedBy>
  <cp:revision>96</cp:revision>
  <dcterms:created xsi:type="dcterms:W3CDTF">2023-10-02T12:43:00Z</dcterms:created>
  <dcterms:modified xsi:type="dcterms:W3CDTF">2023-10-02T14:45:00Z</dcterms:modified>
</cp:coreProperties>
</file>