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6E2E" w14:textId="758DCCBC" w:rsidR="0076542A" w:rsidRDefault="007619E8" w:rsidP="004B2F2C">
      <w:pPr>
        <w:jc w:val="center"/>
        <w:rPr>
          <w:b/>
          <w:bCs/>
          <w:sz w:val="24"/>
          <w:szCs w:val="24"/>
        </w:rPr>
      </w:pPr>
      <w:bookmarkStart w:id="0" w:name="_Hlk122991188"/>
      <w:bookmarkEnd w:id="0"/>
      <w:r>
        <w:rPr>
          <w:b/>
          <w:bCs/>
          <w:sz w:val="24"/>
          <w:szCs w:val="24"/>
        </w:rPr>
        <w:t xml:space="preserve"> </w:t>
      </w:r>
      <w:r w:rsidR="00D15C73">
        <w:rPr>
          <w:b/>
          <w:bCs/>
          <w:sz w:val="24"/>
          <w:szCs w:val="24"/>
        </w:rPr>
        <w:t>Impact of Covid and War in Ukraine on economic variables</w:t>
      </w:r>
    </w:p>
    <w:p w14:paraId="70345ED8" w14:textId="77777777" w:rsidR="00F22A16" w:rsidRDefault="00F22A16" w:rsidP="004B2F2C">
      <w:pPr>
        <w:jc w:val="center"/>
        <w:rPr>
          <w:b/>
          <w:bCs/>
          <w:sz w:val="24"/>
          <w:szCs w:val="24"/>
        </w:rPr>
      </w:pPr>
    </w:p>
    <w:p w14:paraId="619A57CD" w14:textId="1409C2D5" w:rsidR="00D463A6" w:rsidRDefault="00120B28" w:rsidP="00120B28">
      <w:pPr>
        <w:jc w:val="both"/>
      </w:pPr>
      <w:r>
        <w:t>During the past 2 years</w:t>
      </w:r>
      <w:r w:rsidR="00EB1921">
        <w:t xml:space="preserve">, two major </w:t>
      </w:r>
      <w:r w:rsidR="00C07355">
        <w:t>events have trembled the eco</w:t>
      </w:r>
      <w:r w:rsidR="00576106">
        <w:t>nomy of the modern world</w:t>
      </w:r>
      <w:r w:rsidR="00894293">
        <w:t>, the pandemics of Covid-19 and the ongoing war in Ukrain</w:t>
      </w:r>
      <w:r w:rsidR="00EC4EEB">
        <w:t>e</w:t>
      </w:r>
      <w:r w:rsidR="00B8265D">
        <w:t>.</w:t>
      </w:r>
      <w:r w:rsidR="006B5356">
        <w:t xml:space="preserve"> </w:t>
      </w:r>
      <w:r w:rsidR="00515226">
        <w:t>Nonetheless,</w:t>
      </w:r>
      <w:r w:rsidR="00046BEF">
        <w:t xml:space="preserve"> no</w:t>
      </w:r>
      <w:r w:rsidR="00112034">
        <w:t>t only the tumult</w:t>
      </w:r>
      <w:r w:rsidR="00C905D7">
        <w:t>uous</w:t>
      </w:r>
      <w:r w:rsidR="005A7CB3">
        <w:t xml:space="preserve"> </w:t>
      </w:r>
      <w:r w:rsidR="00B7402B">
        <w:t>environment</w:t>
      </w:r>
      <w:r w:rsidR="00AA06D5">
        <w:t xml:space="preserve"> affected the worldwide ec</w:t>
      </w:r>
      <w:r w:rsidR="00DC6420">
        <w:t>onomy</w:t>
      </w:r>
      <w:r w:rsidR="00B650EB">
        <w:t xml:space="preserve"> but also the policies taken by the</w:t>
      </w:r>
      <w:r w:rsidR="00877BD1">
        <w:t xml:space="preserve"> government to counter arrest it</w:t>
      </w:r>
      <w:r w:rsidR="007041BB">
        <w:t>,</w:t>
      </w:r>
      <w:r w:rsidR="007467C8">
        <w:t xml:space="preserve"> and during this analysis</w:t>
      </w:r>
      <w:r w:rsidR="006F5DBE">
        <w:t>, that fact will be reflected.</w:t>
      </w:r>
    </w:p>
    <w:p w14:paraId="4B2CD387" w14:textId="77777777" w:rsidR="006F5DBE" w:rsidRDefault="006F5DBE" w:rsidP="00120B28">
      <w:pPr>
        <w:jc w:val="both"/>
      </w:pPr>
    </w:p>
    <w:p w14:paraId="4225E183" w14:textId="4B577498" w:rsidR="0095761F" w:rsidRPr="003B312C" w:rsidRDefault="00BB6957" w:rsidP="003B312C">
      <w:pPr>
        <w:pStyle w:val="ListParagraph"/>
        <w:numPr>
          <w:ilvl w:val="0"/>
          <w:numId w:val="3"/>
        </w:numPr>
        <w:jc w:val="center"/>
        <w:rPr>
          <w:b/>
          <w:bCs/>
        </w:rPr>
      </w:pPr>
      <w:r w:rsidRPr="003B312C">
        <w:rPr>
          <w:b/>
          <w:bCs/>
        </w:rPr>
        <w:t>Economic V</w:t>
      </w:r>
      <w:r w:rsidR="00AB127B" w:rsidRPr="003B312C">
        <w:rPr>
          <w:b/>
          <w:bCs/>
        </w:rPr>
        <w:t>ariables</w:t>
      </w:r>
    </w:p>
    <w:p w14:paraId="64966EB6" w14:textId="77777777" w:rsidR="005D28B2" w:rsidRDefault="005D28B2" w:rsidP="00BB6957">
      <w:pPr>
        <w:jc w:val="center"/>
        <w:rPr>
          <w:b/>
          <w:bCs/>
        </w:rPr>
      </w:pPr>
    </w:p>
    <w:p w14:paraId="05E9B9FA" w14:textId="3159F3B1" w:rsidR="00AB127B" w:rsidRDefault="005D28B2" w:rsidP="005D28B2">
      <w:pPr>
        <w:pStyle w:val="ListParagraph"/>
        <w:numPr>
          <w:ilvl w:val="0"/>
          <w:numId w:val="2"/>
        </w:numPr>
        <w:rPr>
          <w:b/>
          <w:bCs/>
        </w:rPr>
      </w:pPr>
      <w:r>
        <w:rPr>
          <w:b/>
          <w:bCs/>
        </w:rPr>
        <w:t>Exchange rate to Euro</w:t>
      </w:r>
    </w:p>
    <w:p w14:paraId="468157EC" w14:textId="11503FE4" w:rsidR="005D28B2" w:rsidRDefault="00D37C49" w:rsidP="005D28B2">
      <w:pPr>
        <w:pStyle w:val="ListParagraph"/>
        <w:numPr>
          <w:ilvl w:val="0"/>
          <w:numId w:val="2"/>
        </w:numPr>
        <w:rPr>
          <w:b/>
          <w:bCs/>
        </w:rPr>
      </w:pPr>
      <w:r>
        <w:rPr>
          <w:b/>
          <w:bCs/>
        </w:rPr>
        <w:t>Unemployment</w:t>
      </w:r>
    </w:p>
    <w:p w14:paraId="45E59289" w14:textId="7D9984CB" w:rsidR="00D37C49" w:rsidRDefault="00960C6F" w:rsidP="005D28B2">
      <w:pPr>
        <w:pStyle w:val="ListParagraph"/>
        <w:numPr>
          <w:ilvl w:val="0"/>
          <w:numId w:val="2"/>
        </w:numPr>
        <w:rPr>
          <w:b/>
          <w:bCs/>
        </w:rPr>
      </w:pPr>
      <w:r>
        <w:rPr>
          <w:b/>
          <w:bCs/>
        </w:rPr>
        <w:t>Inflation</w:t>
      </w:r>
    </w:p>
    <w:p w14:paraId="595D5B79" w14:textId="22FD46D1" w:rsidR="00960C6F" w:rsidRDefault="002A7122" w:rsidP="005D28B2">
      <w:pPr>
        <w:pStyle w:val="ListParagraph"/>
        <w:numPr>
          <w:ilvl w:val="0"/>
          <w:numId w:val="2"/>
        </w:numPr>
        <w:rPr>
          <w:b/>
          <w:bCs/>
        </w:rPr>
      </w:pPr>
      <w:r>
        <w:rPr>
          <w:b/>
          <w:bCs/>
        </w:rPr>
        <w:t xml:space="preserve">Gasoline </w:t>
      </w:r>
      <w:proofErr w:type="gramStart"/>
      <w:r>
        <w:rPr>
          <w:b/>
          <w:bCs/>
        </w:rPr>
        <w:t>Price :</w:t>
      </w:r>
      <w:proofErr w:type="gramEnd"/>
      <w:r>
        <w:rPr>
          <w:b/>
          <w:bCs/>
        </w:rPr>
        <w:t xml:space="preserve"> USD per liter.</w:t>
      </w:r>
    </w:p>
    <w:p w14:paraId="36DA149E" w14:textId="254AD2F5" w:rsidR="002A7122" w:rsidRDefault="00DB3EC1" w:rsidP="005D28B2">
      <w:pPr>
        <w:pStyle w:val="ListParagraph"/>
        <w:numPr>
          <w:ilvl w:val="0"/>
          <w:numId w:val="2"/>
        </w:numPr>
        <w:rPr>
          <w:b/>
          <w:bCs/>
        </w:rPr>
      </w:pPr>
      <w:r>
        <w:rPr>
          <w:b/>
          <w:bCs/>
        </w:rPr>
        <w:t xml:space="preserve">Monetary </w:t>
      </w:r>
      <w:proofErr w:type="gramStart"/>
      <w:r>
        <w:rPr>
          <w:b/>
          <w:bCs/>
        </w:rPr>
        <w:t>Supply :</w:t>
      </w:r>
      <w:proofErr w:type="gramEnd"/>
      <w:r>
        <w:rPr>
          <w:b/>
          <w:bCs/>
        </w:rPr>
        <w:t xml:space="preserve"> M0,M1,M2 y M3.</w:t>
      </w:r>
    </w:p>
    <w:p w14:paraId="0964F5B6" w14:textId="77777777" w:rsidR="00A91CF6" w:rsidRDefault="00A91CF6">
      <w:pPr>
        <w:rPr>
          <w:b/>
          <w:bCs/>
        </w:rPr>
      </w:pPr>
    </w:p>
    <w:p w14:paraId="6B1BA42D" w14:textId="3DA563B4" w:rsidR="0001707D" w:rsidRDefault="0001707D" w:rsidP="00E64A07">
      <w:pPr>
        <w:pStyle w:val="ListParagraph"/>
      </w:pPr>
    </w:p>
    <w:p w14:paraId="72576371" w14:textId="041DEBB4" w:rsidR="008D3496" w:rsidRDefault="008A639A" w:rsidP="00152B57">
      <w:pPr>
        <w:pStyle w:val="ListParagraph"/>
        <w:numPr>
          <w:ilvl w:val="0"/>
          <w:numId w:val="2"/>
        </w:numPr>
        <w:jc w:val="center"/>
        <w:rPr>
          <w:b/>
          <w:bCs/>
        </w:rPr>
      </w:pPr>
      <w:r>
        <w:rPr>
          <w:b/>
          <w:bCs/>
        </w:rPr>
        <w:t>Sample</w:t>
      </w:r>
    </w:p>
    <w:p w14:paraId="03BD0E15" w14:textId="77777777" w:rsidR="008A639A" w:rsidRDefault="008A639A" w:rsidP="008A639A">
      <w:pPr>
        <w:pStyle w:val="ListParagraph"/>
        <w:jc w:val="center"/>
        <w:rPr>
          <w:b/>
          <w:bCs/>
        </w:rPr>
      </w:pPr>
    </w:p>
    <w:p w14:paraId="24289C4A" w14:textId="71CD7525" w:rsidR="008A639A" w:rsidRDefault="009C4283" w:rsidP="003B312C">
      <w:pPr>
        <w:pStyle w:val="ListParagraph"/>
        <w:jc w:val="both"/>
      </w:pPr>
      <w:r w:rsidRPr="009C4283">
        <w:t>This</w:t>
      </w:r>
      <w:r w:rsidR="00A8656E">
        <w:t xml:space="preserve"> case-study</w:t>
      </w:r>
      <w:r w:rsidR="008132E9">
        <w:t xml:space="preserve"> consists of 22 countries divide</w:t>
      </w:r>
      <w:r w:rsidR="006F126D">
        <w:t>d</w:t>
      </w:r>
      <w:r w:rsidR="001826CD">
        <w:t xml:space="preserve"> in </w:t>
      </w:r>
      <w:proofErr w:type="gramStart"/>
      <w:r w:rsidR="001826CD">
        <w:t>Non</w:t>
      </w:r>
      <w:r w:rsidR="006A18DD">
        <w:t xml:space="preserve"> Eurozone</w:t>
      </w:r>
      <w:proofErr w:type="gramEnd"/>
      <w:r w:rsidR="006A18DD">
        <w:t xml:space="preserve"> countries, Eurozone countries, Turkey, Russia and the United States </w:t>
      </w:r>
      <w:r w:rsidR="009659DB">
        <w:t>which data is</w:t>
      </w:r>
      <w:r w:rsidR="00997612">
        <w:t xml:space="preserve"> </w:t>
      </w:r>
      <w:r w:rsidR="009659DB">
        <w:t xml:space="preserve">evaluated </w:t>
      </w:r>
      <w:r w:rsidR="00997612">
        <w:t>from</w:t>
      </w:r>
      <w:r w:rsidR="00EC71D7">
        <w:t xml:space="preserve"> January 2019 to August 2022</w:t>
      </w:r>
      <w:r w:rsidR="009659DB">
        <w:t>.</w:t>
      </w:r>
    </w:p>
    <w:p w14:paraId="1B1578B9" w14:textId="77777777" w:rsidR="009659DB" w:rsidRDefault="009659DB" w:rsidP="00701AAF">
      <w:pPr>
        <w:pStyle w:val="ListParagraph"/>
        <w:jc w:val="both"/>
      </w:pPr>
    </w:p>
    <w:p w14:paraId="10E15BB8" w14:textId="0668BF82" w:rsidR="00152B57" w:rsidRPr="00634C82" w:rsidRDefault="00FA51FC" w:rsidP="00FA51FC">
      <w:pPr>
        <w:pStyle w:val="ListParagraph"/>
        <w:numPr>
          <w:ilvl w:val="0"/>
          <w:numId w:val="5"/>
        </w:numPr>
        <w:jc w:val="both"/>
      </w:pPr>
      <w:r>
        <w:rPr>
          <w:b/>
          <w:bCs/>
        </w:rPr>
        <w:t>Non-Eurozone Countries</w:t>
      </w:r>
    </w:p>
    <w:p w14:paraId="515BE3B0" w14:textId="77777777" w:rsidR="00634C82" w:rsidRPr="00FA51FC" w:rsidRDefault="00634C82" w:rsidP="00634C82">
      <w:pPr>
        <w:pStyle w:val="ListParagraph"/>
        <w:ind w:left="1080"/>
        <w:jc w:val="both"/>
      </w:pPr>
    </w:p>
    <w:p w14:paraId="23DEB116" w14:textId="77777777" w:rsidR="00634C82" w:rsidRDefault="00634C82" w:rsidP="00634C82">
      <w:pPr>
        <w:pStyle w:val="ListParagraph"/>
        <w:ind w:left="1080"/>
        <w:jc w:val="both"/>
      </w:pPr>
      <w:r>
        <w:t>Bulgaria</w:t>
      </w:r>
    </w:p>
    <w:p w14:paraId="313C57A2" w14:textId="77777777" w:rsidR="00634C82" w:rsidRDefault="00634C82" w:rsidP="00634C82">
      <w:pPr>
        <w:pStyle w:val="ListParagraph"/>
        <w:ind w:left="1080"/>
        <w:jc w:val="both"/>
      </w:pPr>
      <w:r>
        <w:t>Czech Republic</w:t>
      </w:r>
    </w:p>
    <w:p w14:paraId="72FAB5FE" w14:textId="77777777" w:rsidR="00634C82" w:rsidRDefault="00634C82" w:rsidP="00634C82">
      <w:pPr>
        <w:pStyle w:val="ListParagraph"/>
        <w:ind w:left="1080"/>
        <w:jc w:val="both"/>
      </w:pPr>
      <w:r>
        <w:t>Denmark</w:t>
      </w:r>
    </w:p>
    <w:p w14:paraId="1724D0CE" w14:textId="77777777" w:rsidR="00634C82" w:rsidRDefault="00634C82" w:rsidP="00634C82">
      <w:pPr>
        <w:pStyle w:val="ListParagraph"/>
        <w:ind w:left="1080"/>
        <w:jc w:val="both"/>
      </w:pPr>
      <w:r>
        <w:t>Croatia</w:t>
      </w:r>
    </w:p>
    <w:p w14:paraId="7A6B284D" w14:textId="77777777" w:rsidR="00634C82" w:rsidRDefault="00634C82" w:rsidP="00634C82">
      <w:pPr>
        <w:pStyle w:val="ListParagraph"/>
        <w:ind w:left="1080"/>
        <w:jc w:val="both"/>
      </w:pPr>
      <w:r>
        <w:t>Hungary</w:t>
      </w:r>
    </w:p>
    <w:p w14:paraId="7BF61E63" w14:textId="77777777" w:rsidR="00634C82" w:rsidRDefault="00634C82" w:rsidP="00634C82">
      <w:pPr>
        <w:pStyle w:val="ListParagraph"/>
        <w:ind w:left="1080"/>
        <w:jc w:val="both"/>
      </w:pPr>
      <w:r>
        <w:t>Poland</w:t>
      </w:r>
    </w:p>
    <w:p w14:paraId="2BF8A517" w14:textId="77777777" w:rsidR="00634C82" w:rsidRDefault="00634C82" w:rsidP="00634C82">
      <w:pPr>
        <w:pStyle w:val="ListParagraph"/>
        <w:ind w:left="1080"/>
        <w:jc w:val="both"/>
      </w:pPr>
      <w:r>
        <w:t>Romania</w:t>
      </w:r>
    </w:p>
    <w:p w14:paraId="7CE23732" w14:textId="77777777" w:rsidR="00634C82" w:rsidRDefault="00634C82" w:rsidP="00634C82">
      <w:pPr>
        <w:pStyle w:val="ListParagraph"/>
        <w:ind w:left="1080"/>
        <w:jc w:val="both"/>
      </w:pPr>
      <w:r>
        <w:t>Sweden</w:t>
      </w:r>
    </w:p>
    <w:p w14:paraId="0D6C832F" w14:textId="77777777" w:rsidR="00634C82" w:rsidRDefault="00634C82" w:rsidP="00634C82">
      <w:pPr>
        <w:pStyle w:val="ListParagraph"/>
        <w:ind w:left="1080"/>
        <w:jc w:val="both"/>
      </w:pPr>
      <w:r>
        <w:t>Switzerland</w:t>
      </w:r>
    </w:p>
    <w:p w14:paraId="16F16C08" w14:textId="77777777" w:rsidR="00634C82" w:rsidRDefault="00634C82" w:rsidP="00634C82">
      <w:pPr>
        <w:pStyle w:val="ListParagraph"/>
        <w:ind w:left="1080"/>
        <w:jc w:val="both"/>
      </w:pPr>
      <w:r>
        <w:t>Norway</w:t>
      </w:r>
    </w:p>
    <w:p w14:paraId="7D9F8ECA" w14:textId="46CA2D19" w:rsidR="00FA51FC" w:rsidRDefault="00634C82" w:rsidP="00634C82">
      <w:pPr>
        <w:pStyle w:val="ListParagraph"/>
        <w:ind w:left="1080"/>
        <w:jc w:val="both"/>
      </w:pPr>
      <w:r>
        <w:t>United Kingdom</w:t>
      </w:r>
    </w:p>
    <w:p w14:paraId="635CA8C5" w14:textId="77777777" w:rsidR="00634C82" w:rsidRDefault="00634C82" w:rsidP="00634C82">
      <w:pPr>
        <w:pStyle w:val="ListParagraph"/>
        <w:ind w:left="1080"/>
        <w:jc w:val="both"/>
      </w:pPr>
    </w:p>
    <w:p w14:paraId="0803CB37" w14:textId="77777777" w:rsidR="00634C82" w:rsidRDefault="00634C82" w:rsidP="00634C82">
      <w:pPr>
        <w:pStyle w:val="ListParagraph"/>
        <w:ind w:left="1080"/>
        <w:jc w:val="both"/>
      </w:pPr>
    </w:p>
    <w:p w14:paraId="1A36CBBB" w14:textId="77777777" w:rsidR="00634C82" w:rsidRDefault="00634C82" w:rsidP="00634C82">
      <w:pPr>
        <w:pStyle w:val="ListParagraph"/>
        <w:ind w:left="1080"/>
        <w:jc w:val="both"/>
      </w:pPr>
    </w:p>
    <w:p w14:paraId="4C99A6ED" w14:textId="77777777" w:rsidR="00634C82" w:rsidRDefault="00634C82" w:rsidP="00634C82">
      <w:pPr>
        <w:pStyle w:val="ListParagraph"/>
        <w:ind w:left="1080"/>
        <w:jc w:val="both"/>
      </w:pPr>
    </w:p>
    <w:p w14:paraId="5F181094" w14:textId="77777777" w:rsidR="00634C82" w:rsidRPr="00FA51FC" w:rsidRDefault="00634C82" w:rsidP="00634C82">
      <w:pPr>
        <w:pStyle w:val="ListParagraph"/>
        <w:ind w:left="1080"/>
        <w:jc w:val="both"/>
      </w:pPr>
    </w:p>
    <w:p w14:paraId="1D771AD6" w14:textId="5C4E73F3" w:rsidR="00FA51FC" w:rsidRPr="00902850" w:rsidRDefault="00FA51FC" w:rsidP="00FA51FC">
      <w:pPr>
        <w:pStyle w:val="ListParagraph"/>
        <w:numPr>
          <w:ilvl w:val="0"/>
          <w:numId w:val="5"/>
        </w:numPr>
        <w:jc w:val="both"/>
      </w:pPr>
      <w:r>
        <w:rPr>
          <w:b/>
          <w:bCs/>
        </w:rPr>
        <w:lastRenderedPageBreak/>
        <w:t>Eurozone Countries</w:t>
      </w:r>
    </w:p>
    <w:p w14:paraId="56B6617F" w14:textId="77777777" w:rsidR="00902850" w:rsidRDefault="00902850" w:rsidP="00902850">
      <w:pPr>
        <w:jc w:val="both"/>
      </w:pPr>
      <w:r>
        <w:t>Germany</w:t>
      </w:r>
    </w:p>
    <w:p w14:paraId="2DC71623" w14:textId="77777777" w:rsidR="00902850" w:rsidRDefault="00902850" w:rsidP="00902850">
      <w:pPr>
        <w:jc w:val="both"/>
      </w:pPr>
      <w:r>
        <w:t>Estonia</w:t>
      </w:r>
    </w:p>
    <w:p w14:paraId="49A8FDC1" w14:textId="77777777" w:rsidR="00902850" w:rsidRDefault="00902850" w:rsidP="00902850">
      <w:pPr>
        <w:jc w:val="both"/>
      </w:pPr>
      <w:r>
        <w:t>Ireland</w:t>
      </w:r>
    </w:p>
    <w:p w14:paraId="731BA210" w14:textId="77777777" w:rsidR="00902850" w:rsidRDefault="00902850" w:rsidP="00902850">
      <w:pPr>
        <w:jc w:val="both"/>
      </w:pPr>
      <w:r>
        <w:t>Spain</w:t>
      </w:r>
    </w:p>
    <w:p w14:paraId="06252E8F" w14:textId="77777777" w:rsidR="00902850" w:rsidRDefault="00902850" w:rsidP="00902850">
      <w:pPr>
        <w:jc w:val="both"/>
      </w:pPr>
      <w:r>
        <w:t>France</w:t>
      </w:r>
    </w:p>
    <w:p w14:paraId="5B77E968" w14:textId="77777777" w:rsidR="00902850" w:rsidRDefault="00902850" w:rsidP="00902850">
      <w:pPr>
        <w:jc w:val="both"/>
      </w:pPr>
      <w:r>
        <w:t>Italy</w:t>
      </w:r>
    </w:p>
    <w:p w14:paraId="2242233C" w14:textId="77777777" w:rsidR="00902850" w:rsidRDefault="00902850" w:rsidP="00902850">
      <w:pPr>
        <w:jc w:val="both"/>
      </w:pPr>
      <w:r>
        <w:t>Netherlands</w:t>
      </w:r>
    </w:p>
    <w:p w14:paraId="70A54F9E" w14:textId="5E4E7037" w:rsidR="00902850" w:rsidRDefault="00902850" w:rsidP="00902850">
      <w:pPr>
        <w:jc w:val="both"/>
      </w:pPr>
      <w:r>
        <w:t>Portugal</w:t>
      </w:r>
    </w:p>
    <w:p w14:paraId="6E0775E5" w14:textId="77777777" w:rsidR="00902850" w:rsidRDefault="00902850" w:rsidP="00902850">
      <w:pPr>
        <w:jc w:val="both"/>
      </w:pPr>
    </w:p>
    <w:p w14:paraId="0FA48FAE" w14:textId="77777777" w:rsidR="00832154" w:rsidRDefault="00832154" w:rsidP="00266DC1">
      <w:pPr>
        <w:jc w:val="both"/>
      </w:pPr>
    </w:p>
    <w:p w14:paraId="1414902A" w14:textId="47628F87" w:rsidR="00266DC1" w:rsidRPr="00080183" w:rsidRDefault="003B72A1" w:rsidP="007C6219">
      <w:pPr>
        <w:pStyle w:val="ListParagraph"/>
        <w:numPr>
          <w:ilvl w:val="0"/>
          <w:numId w:val="5"/>
        </w:numPr>
        <w:jc w:val="center"/>
      </w:pPr>
      <w:r>
        <w:rPr>
          <w:b/>
          <w:bCs/>
        </w:rPr>
        <w:t xml:space="preserve">Evolution of </w:t>
      </w:r>
      <w:r w:rsidR="00266DC1">
        <w:rPr>
          <w:b/>
          <w:bCs/>
        </w:rPr>
        <w:t>Inflation</w:t>
      </w:r>
      <w:r w:rsidR="00F81544">
        <w:rPr>
          <w:b/>
          <w:bCs/>
        </w:rPr>
        <w:t xml:space="preserve"> from 2019 to August 2022</w:t>
      </w:r>
    </w:p>
    <w:p w14:paraId="1B5A0FAE" w14:textId="5B5BEDBF" w:rsidR="00A91CF6" w:rsidRDefault="00A91CF6">
      <w:r>
        <w:rPr>
          <w:noProof/>
        </w:rPr>
        <w:drawing>
          <wp:inline distT="0" distB="0" distL="0" distR="0" wp14:anchorId="70BCAAF3" wp14:editId="68B2A5F7">
            <wp:extent cx="5943600" cy="38576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2C9A0C14" w14:textId="77777777" w:rsidR="007D4D2B" w:rsidRDefault="007D4D2B"/>
    <w:p w14:paraId="7DF7BD0E" w14:textId="645CA8B4" w:rsidR="007D4D2B" w:rsidRDefault="0000231F">
      <w:r>
        <w:t xml:space="preserve">The </w:t>
      </w:r>
      <w:r w:rsidR="00AF4911">
        <w:t>chart</w:t>
      </w:r>
      <w:r>
        <w:t xml:space="preserve"> shows that inf</w:t>
      </w:r>
      <w:r w:rsidR="006A41EB">
        <w:t xml:space="preserve">lation rate maintained relatively stable </w:t>
      </w:r>
      <w:r w:rsidR="0002251A">
        <w:t>until the</w:t>
      </w:r>
      <w:r w:rsidR="00493386">
        <w:t xml:space="preserve"> first quarter of</w:t>
      </w:r>
      <w:r w:rsidR="0074584D">
        <w:t xml:space="preserve"> 2020 where it </w:t>
      </w:r>
      <w:r w:rsidR="00EA6931">
        <w:t>started dropping to deflation levels</w:t>
      </w:r>
      <w:r w:rsidR="00B62B19">
        <w:t xml:space="preserve">, likely </w:t>
      </w:r>
      <w:r w:rsidR="00484F42">
        <w:t>due</w:t>
      </w:r>
      <w:r w:rsidR="00B62B19">
        <w:t xml:space="preserve"> to the</w:t>
      </w:r>
      <w:r w:rsidR="00914F5D">
        <w:t xml:space="preserve"> general lockdowns around the world and </w:t>
      </w:r>
      <w:r w:rsidR="0099137C">
        <w:t xml:space="preserve">reduction </w:t>
      </w:r>
      <w:r w:rsidR="0099137C">
        <w:lastRenderedPageBreak/>
        <w:t>of productions</w:t>
      </w:r>
      <w:r w:rsidR="00126D90">
        <w:t xml:space="preserve"> </w:t>
      </w:r>
      <w:r w:rsidR="00CC3F21">
        <w:t>as consequence</w:t>
      </w:r>
      <w:r w:rsidR="00126D90">
        <w:t xml:space="preserve"> of Covid 19</w:t>
      </w:r>
      <w:r w:rsidR="00F56B7E">
        <w:t>.</w:t>
      </w:r>
      <w:r w:rsidR="00FD39AD">
        <w:t xml:space="preserve"> However, the </w:t>
      </w:r>
      <w:r w:rsidR="00143FB0">
        <w:t>average inflation started going up</w:t>
      </w:r>
      <w:r w:rsidR="00BC2644">
        <w:t xml:space="preserve"> in </w:t>
      </w:r>
      <w:r w:rsidR="00CC3F21">
        <w:t>December 2020 surpassing</w:t>
      </w:r>
      <w:r w:rsidR="00D17142">
        <w:t xml:space="preserve"> 9%</w:t>
      </w:r>
      <w:r w:rsidR="00B70614">
        <w:t>.</w:t>
      </w:r>
    </w:p>
    <w:p w14:paraId="2590DF68" w14:textId="77777777" w:rsidR="001E2262" w:rsidRDefault="001E2262"/>
    <w:p w14:paraId="7F9D4338" w14:textId="67C11AC2" w:rsidR="001E2262" w:rsidRDefault="001E2262">
      <w:r>
        <w:rPr>
          <w:noProof/>
        </w:rPr>
        <w:drawing>
          <wp:inline distT="0" distB="0" distL="0" distR="0" wp14:anchorId="762C7936" wp14:editId="38F45530">
            <wp:extent cx="5943600" cy="3857625"/>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03FDA584" w14:textId="49E5B1D8" w:rsidR="005D130C" w:rsidRDefault="005D130C" w:rsidP="005D130C">
      <w:r>
        <w:t xml:space="preserve">The </w:t>
      </w:r>
      <w:r w:rsidR="00AF4911">
        <w:t>chart</w:t>
      </w:r>
      <w:r>
        <w:t xml:space="preserve"> shows that inflation rate maintained relatively stable until the first quarter of 2020 where it started dropping to </w:t>
      </w:r>
      <w:r w:rsidR="008B1E8E">
        <w:t>nearly 0</w:t>
      </w:r>
      <w:r>
        <w:t xml:space="preserve">, likely due to the general lockdowns around the world and reduction of productions as consequence of Covid 19. However, the average inflation started going up in December 2020 surpassing </w:t>
      </w:r>
      <w:r w:rsidR="002C2FEE">
        <w:t>10</w:t>
      </w:r>
      <w:r>
        <w:t>%.</w:t>
      </w:r>
    </w:p>
    <w:p w14:paraId="655FC1AE" w14:textId="77777777" w:rsidR="001E2262" w:rsidRDefault="001E2262"/>
    <w:p w14:paraId="0BF1D986" w14:textId="77777777" w:rsidR="001E2262" w:rsidRDefault="001E2262"/>
    <w:p w14:paraId="271D4C37" w14:textId="77777777" w:rsidR="001E2262" w:rsidRDefault="001E2262"/>
    <w:p w14:paraId="1D177F94" w14:textId="77777777" w:rsidR="001E2262" w:rsidRDefault="001E2262"/>
    <w:p w14:paraId="161867CB" w14:textId="77777777" w:rsidR="001E2262" w:rsidRDefault="001E2262"/>
    <w:p w14:paraId="16961DFE" w14:textId="77777777" w:rsidR="001E2262" w:rsidRDefault="001E2262"/>
    <w:p w14:paraId="3BA66753" w14:textId="77777777" w:rsidR="001E2262" w:rsidRDefault="001E2262"/>
    <w:p w14:paraId="4249AEC0" w14:textId="77777777" w:rsidR="005236D9" w:rsidRDefault="009F7131">
      <w:r>
        <w:rPr>
          <w:noProof/>
        </w:rPr>
        <w:lastRenderedPageBreak/>
        <w:drawing>
          <wp:inline distT="0" distB="0" distL="0" distR="0" wp14:anchorId="6A4F180C" wp14:editId="13473BB5">
            <wp:extent cx="5943600" cy="3857625"/>
            <wp:effectExtent l="0" t="0" r="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1B750321" w14:textId="01FF3DB4" w:rsidR="002827B3" w:rsidRDefault="005236D9">
      <w:r>
        <w:t xml:space="preserve">The </w:t>
      </w:r>
      <w:r w:rsidR="009016D4">
        <w:t>chart</w:t>
      </w:r>
      <w:r>
        <w:t xml:space="preserve"> shows that inflation rate </w:t>
      </w:r>
      <w:r w:rsidR="00D97922">
        <w:t>gradually</w:t>
      </w:r>
      <w:r w:rsidR="00140098">
        <w:t xml:space="preserve"> dropped to almost the half until the first month of 2020</w:t>
      </w:r>
      <w:r w:rsidR="001E60A8">
        <w:t>.</w:t>
      </w:r>
      <w:r>
        <w:t>However, the average inflation started going up</w:t>
      </w:r>
      <w:r w:rsidR="001E60A8">
        <w:t xml:space="preserve"> since then</w:t>
      </w:r>
      <w:r w:rsidR="00135F5F">
        <w:t>, surpassing 15%</w:t>
      </w:r>
      <w:r w:rsidR="00014771">
        <w:t xml:space="preserve"> in March 2022 and then gradually dropping</w:t>
      </w:r>
      <w:r w:rsidR="000742BB">
        <w:t xml:space="preserve"> since April 2022.</w:t>
      </w:r>
    </w:p>
    <w:p w14:paraId="3F86229C" w14:textId="77777777" w:rsidR="002827B3" w:rsidRDefault="002827B3"/>
    <w:p w14:paraId="720E0403" w14:textId="77777777" w:rsidR="00C23D0C" w:rsidRDefault="009F7131">
      <w:r>
        <w:rPr>
          <w:noProof/>
        </w:rPr>
        <w:lastRenderedPageBreak/>
        <w:drawing>
          <wp:inline distT="0" distB="0" distL="0" distR="0" wp14:anchorId="45429883" wp14:editId="201F45D3">
            <wp:extent cx="5943600" cy="3857625"/>
            <wp:effectExtent l="0" t="0" r="0" b="95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67948CE7" w14:textId="0C062B5E" w:rsidR="00F37848" w:rsidRDefault="00F37848" w:rsidP="00F37848">
      <w:r>
        <w:t xml:space="preserve">The </w:t>
      </w:r>
      <w:r w:rsidR="00B242E4">
        <w:t>chart</w:t>
      </w:r>
      <w:r>
        <w:t xml:space="preserve"> shows that inflation rate gradually dropped to </w:t>
      </w:r>
      <w:r w:rsidR="00401A7E">
        <w:t xml:space="preserve">below 10% in September </w:t>
      </w:r>
      <w:r w:rsidR="009F3758">
        <w:t>2019. However</w:t>
      </w:r>
      <w:r>
        <w:t xml:space="preserve">, the average inflation </w:t>
      </w:r>
      <w:r w:rsidR="00BA4138">
        <w:t>went clim</w:t>
      </w:r>
      <w:r w:rsidR="00582143">
        <w:t>bed gradually to previous levels</w:t>
      </w:r>
      <w:r w:rsidR="00C70D76">
        <w:t xml:space="preserve"> since then until November of 2021, where</w:t>
      </w:r>
      <w:r w:rsidR="00EC21D9">
        <w:t xml:space="preserve"> the inflation rate started increasing rapidly up to 80% in</w:t>
      </w:r>
      <w:r w:rsidR="00ED1195">
        <w:t xml:space="preserve"> August of 2022.</w:t>
      </w:r>
    </w:p>
    <w:p w14:paraId="505DF5DB" w14:textId="77777777" w:rsidR="00C23D0C" w:rsidRDefault="00C23D0C"/>
    <w:p w14:paraId="41F9EE3B" w14:textId="4C2CE9B1" w:rsidR="0076542A" w:rsidRDefault="009F7131">
      <w:r>
        <w:rPr>
          <w:noProof/>
        </w:rPr>
        <w:lastRenderedPageBreak/>
        <w:drawing>
          <wp:inline distT="0" distB="0" distL="0" distR="0" wp14:anchorId="681A5F99" wp14:editId="5D65D823">
            <wp:extent cx="5943600" cy="3857625"/>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00082299" w14:textId="77777777" w:rsidR="00D17BC2" w:rsidRDefault="00D17BC2"/>
    <w:p w14:paraId="638EA94F" w14:textId="15489025" w:rsidR="007118F2" w:rsidRDefault="00872EFC" w:rsidP="007118F2">
      <w:r>
        <w:t xml:space="preserve">The </w:t>
      </w:r>
      <w:r w:rsidR="00CC1789">
        <w:t>chart</w:t>
      </w:r>
      <w:r>
        <w:t xml:space="preserve"> shows that inflation rate maintained certain stability </w:t>
      </w:r>
      <w:r w:rsidR="001D7126">
        <w:t>until February of 2022, when it dropped to nearly 0%</w:t>
      </w:r>
      <w:r w:rsidR="00C76058">
        <w:t xml:space="preserve"> in </w:t>
      </w:r>
      <w:r w:rsidR="00E20D10">
        <w:t>May</w:t>
      </w:r>
      <w:r w:rsidR="00C76058">
        <w:t xml:space="preserve"> of that year, likely due to the covid restrictions and lockdowns</w:t>
      </w:r>
      <w:r w:rsidR="009F3758">
        <w:t>.</w:t>
      </w:r>
      <w:r w:rsidR="007118F2">
        <w:t xml:space="preserve"> However, the average inflation </w:t>
      </w:r>
      <w:r w:rsidR="00E20D10">
        <w:t>steadily went up to</w:t>
      </w:r>
      <w:r w:rsidR="00972C8D">
        <w:t xml:space="preserve"> 8% in the second quarter of 2022.</w:t>
      </w:r>
    </w:p>
    <w:p w14:paraId="27CA8FF5" w14:textId="73021D7A" w:rsidR="00D17BC2" w:rsidRDefault="00D17BC2"/>
    <w:p w14:paraId="02983BC7" w14:textId="6FCF27C5" w:rsidR="00D33491" w:rsidRDefault="004649CE">
      <w:r>
        <w:rPr>
          <w:noProof/>
        </w:rPr>
        <w:lastRenderedPageBreak/>
        <w:drawing>
          <wp:inline distT="0" distB="0" distL="0" distR="0" wp14:anchorId="7935B077" wp14:editId="56C15516">
            <wp:extent cx="5943600" cy="3857625"/>
            <wp:effectExtent l="0" t="0" r="0"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4B47EF61" w14:textId="77777777" w:rsidR="00D57665" w:rsidRDefault="00D57665"/>
    <w:p w14:paraId="6C37071D" w14:textId="00CBDE08" w:rsidR="00D57665" w:rsidRDefault="00D57665">
      <w:r>
        <w:t xml:space="preserve">The </w:t>
      </w:r>
      <w:r w:rsidR="00CC1789">
        <w:t>chart</w:t>
      </w:r>
      <w:r>
        <w:t xml:space="preserve"> shows that inflation rate</w:t>
      </w:r>
      <w:r w:rsidR="0058404E">
        <w:t xml:space="preserve"> steadily increased throughout the period</w:t>
      </w:r>
      <w:r w:rsidR="00622E07">
        <w:t>, highlighting Turkey</w:t>
      </w:r>
      <w:r w:rsidR="00EE16C2">
        <w:t xml:space="preserve"> with an exponential increase in</w:t>
      </w:r>
      <w:r w:rsidR="00E664C0">
        <w:t xml:space="preserve"> November of 2022 and a considerable increase in Russia</w:t>
      </w:r>
      <w:r w:rsidR="004466B8">
        <w:t xml:space="preserve"> in February 2022</w:t>
      </w:r>
      <w:r w:rsidR="00CB5B0F">
        <w:t>.</w:t>
      </w:r>
    </w:p>
    <w:p w14:paraId="244945AE" w14:textId="26F2163E" w:rsidR="00E52DA2" w:rsidRDefault="00E52DA2">
      <w:r>
        <w:t>Turkey presents the highest</w:t>
      </w:r>
      <w:r w:rsidR="00A85EA4">
        <w:t xml:space="preserve"> inflation rate of the research</w:t>
      </w:r>
      <w:r w:rsidR="001D28CE">
        <w:t>, with a big gap compared to the second highest inflation rate which is</w:t>
      </w:r>
      <w:r w:rsidR="008B12EA">
        <w:t xml:space="preserve"> in Russia, and the third highest corresponding to</w:t>
      </w:r>
      <w:r w:rsidR="0085723D">
        <w:t xml:space="preserve"> the </w:t>
      </w:r>
      <w:proofErr w:type="gramStart"/>
      <w:r w:rsidR="0085723D">
        <w:t>Non Euro Zone</w:t>
      </w:r>
      <w:proofErr w:type="gramEnd"/>
      <w:r w:rsidR="0085723D">
        <w:t xml:space="preserve"> group in August of 2022.</w:t>
      </w:r>
    </w:p>
    <w:p w14:paraId="5D6AEA50" w14:textId="77777777" w:rsidR="00955613" w:rsidRDefault="00955613"/>
    <w:p w14:paraId="0211578F" w14:textId="77777777" w:rsidR="00955613" w:rsidRDefault="00955613"/>
    <w:p w14:paraId="5B58C942" w14:textId="77777777" w:rsidR="00955613" w:rsidRDefault="00955613"/>
    <w:p w14:paraId="0DBD276E" w14:textId="77777777" w:rsidR="00955613" w:rsidRDefault="00955613"/>
    <w:p w14:paraId="52E64203" w14:textId="77777777" w:rsidR="00955613" w:rsidRDefault="00955613"/>
    <w:p w14:paraId="3E159002" w14:textId="77777777" w:rsidR="00955613" w:rsidRDefault="00955613"/>
    <w:p w14:paraId="7E74D734" w14:textId="77777777" w:rsidR="00955613" w:rsidRDefault="00955613"/>
    <w:p w14:paraId="7DBC3283" w14:textId="77777777" w:rsidR="00955613" w:rsidRDefault="00955613"/>
    <w:p w14:paraId="46E94D49" w14:textId="77777777" w:rsidR="00955613" w:rsidRDefault="00955613"/>
    <w:p w14:paraId="5B2B764A" w14:textId="77777777" w:rsidR="00955613" w:rsidRDefault="00955613"/>
    <w:p w14:paraId="57976C28" w14:textId="77777777" w:rsidR="005C52BF" w:rsidRPr="005C52BF" w:rsidRDefault="005C52BF" w:rsidP="00A56342"/>
    <w:p w14:paraId="351D27DD" w14:textId="3CD87899" w:rsidR="00955613" w:rsidRPr="0016181D" w:rsidRDefault="006203AC" w:rsidP="006203AC">
      <w:pPr>
        <w:pStyle w:val="ListParagraph"/>
        <w:numPr>
          <w:ilvl w:val="0"/>
          <w:numId w:val="5"/>
        </w:numPr>
        <w:jc w:val="center"/>
      </w:pPr>
      <w:r>
        <w:rPr>
          <w:b/>
          <w:bCs/>
        </w:rPr>
        <w:t>Inflation forecast</w:t>
      </w:r>
    </w:p>
    <w:p w14:paraId="0E5AF22A" w14:textId="77777777" w:rsidR="0016181D" w:rsidRDefault="0016181D" w:rsidP="0016181D">
      <w:pPr>
        <w:pStyle w:val="ListParagraph"/>
        <w:ind w:left="1080"/>
        <w:rPr>
          <w:b/>
          <w:bCs/>
        </w:rPr>
      </w:pPr>
    </w:p>
    <w:p w14:paraId="3A458C70" w14:textId="77777777" w:rsidR="0016181D" w:rsidRDefault="0016181D" w:rsidP="0016181D">
      <w:pPr>
        <w:pStyle w:val="ListParagraph"/>
        <w:ind w:left="1080"/>
        <w:rPr>
          <w:b/>
          <w:bCs/>
        </w:rPr>
      </w:pPr>
    </w:p>
    <w:p w14:paraId="0ED18C21" w14:textId="255D4661" w:rsidR="00C64F29" w:rsidRPr="00A56342" w:rsidRDefault="00004FA4" w:rsidP="00C64F29">
      <w:pPr>
        <w:pStyle w:val="ListParagraph"/>
        <w:numPr>
          <w:ilvl w:val="0"/>
          <w:numId w:val="5"/>
        </w:numPr>
      </w:pPr>
      <w:proofErr w:type="gramStart"/>
      <w:r>
        <w:rPr>
          <w:b/>
          <w:bCs/>
        </w:rPr>
        <w:t>Non Eurozone</w:t>
      </w:r>
      <w:proofErr w:type="gramEnd"/>
      <w:r w:rsidR="005F2B48">
        <w:rPr>
          <w:b/>
          <w:bCs/>
        </w:rPr>
        <w:t xml:space="preserve"> countrie</w:t>
      </w:r>
      <w:r w:rsidR="00C64F29">
        <w:rPr>
          <w:b/>
          <w:bCs/>
        </w:rPr>
        <w:t>s</w:t>
      </w:r>
    </w:p>
    <w:p w14:paraId="43B94D6D" w14:textId="77777777" w:rsidR="00A56342" w:rsidRDefault="00A56342" w:rsidP="00A56342"/>
    <w:p w14:paraId="39F7DFBE" w14:textId="55C61024" w:rsidR="00C510DB" w:rsidRDefault="00A56342" w:rsidP="00A56342">
      <w:r>
        <w:rPr>
          <w:noProof/>
        </w:rPr>
        <w:drawing>
          <wp:inline distT="0" distB="0" distL="0" distR="0" wp14:anchorId="56AAC045" wp14:editId="052775DA">
            <wp:extent cx="5943600" cy="3857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tbl>
      <w:tblPr>
        <w:tblW w:w="3505" w:type="dxa"/>
        <w:tblLook w:val="04A0" w:firstRow="1" w:lastRow="0" w:firstColumn="1" w:lastColumn="0" w:noHBand="0" w:noVBand="1"/>
      </w:tblPr>
      <w:tblGrid>
        <w:gridCol w:w="1165"/>
        <w:gridCol w:w="2340"/>
      </w:tblGrid>
      <w:tr w:rsidR="00013E05" w:rsidRPr="00013E05" w14:paraId="29E4F2FF" w14:textId="77777777" w:rsidTr="00013E05">
        <w:trPr>
          <w:trHeight w:val="288"/>
        </w:trPr>
        <w:tc>
          <w:tcPr>
            <w:tcW w:w="116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CD27C70"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 </w:t>
            </w:r>
          </w:p>
        </w:tc>
        <w:tc>
          <w:tcPr>
            <w:tcW w:w="2340" w:type="dxa"/>
            <w:tcBorders>
              <w:top w:val="single" w:sz="4" w:space="0" w:color="auto"/>
              <w:left w:val="nil"/>
              <w:bottom w:val="single" w:sz="4" w:space="0" w:color="auto"/>
              <w:right w:val="single" w:sz="4" w:space="0" w:color="auto"/>
            </w:tcBorders>
            <w:shd w:val="clear" w:color="000000" w:fill="B4C6E7"/>
            <w:noWrap/>
            <w:vAlign w:val="bottom"/>
            <w:hideMark/>
          </w:tcPr>
          <w:p w14:paraId="11FCCA2E"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Point Forecast</w:t>
            </w:r>
          </w:p>
        </w:tc>
      </w:tr>
      <w:tr w:rsidR="00013E05" w:rsidRPr="00013E05" w14:paraId="440D8B12"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F4AE186"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Sep 2022</w:t>
            </w:r>
          </w:p>
        </w:tc>
        <w:tc>
          <w:tcPr>
            <w:tcW w:w="2340" w:type="dxa"/>
            <w:tcBorders>
              <w:top w:val="nil"/>
              <w:left w:val="nil"/>
              <w:bottom w:val="single" w:sz="4" w:space="0" w:color="auto"/>
              <w:right w:val="single" w:sz="4" w:space="0" w:color="auto"/>
            </w:tcBorders>
            <w:shd w:val="clear" w:color="auto" w:fill="auto"/>
            <w:noWrap/>
            <w:vAlign w:val="bottom"/>
            <w:hideMark/>
          </w:tcPr>
          <w:p w14:paraId="06BAB710"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12.43454545</w:t>
            </w:r>
          </w:p>
        </w:tc>
      </w:tr>
      <w:tr w:rsidR="00013E05" w:rsidRPr="00013E05" w14:paraId="619E681A"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69D1C76"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Oct 2022</w:t>
            </w:r>
          </w:p>
        </w:tc>
        <w:tc>
          <w:tcPr>
            <w:tcW w:w="2340" w:type="dxa"/>
            <w:tcBorders>
              <w:top w:val="nil"/>
              <w:left w:val="nil"/>
              <w:bottom w:val="single" w:sz="4" w:space="0" w:color="auto"/>
              <w:right w:val="single" w:sz="4" w:space="0" w:color="auto"/>
            </w:tcBorders>
            <w:shd w:val="clear" w:color="auto" w:fill="auto"/>
            <w:noWrap/>
            <w:vAlign w:val="bottom"/>
            <w:hideMark/>
          </w:tcPr>
          <w:p w14:paraId="6459BC6C"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12.79454545</w:t>
            </w:r>
          </w:p>
        </w:tc>
      </w:tr>
      <w:tr w:rsidR="00013E05" w:rsidRPr="00013E05" w14:paraId="391C507A"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50CAABA"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Nov 2022</w:t>
            </w:r>
          </w:p>
        </w:tc>
        <w:tc>
          <w:tcPr>
            <w:tcW w:w="2340" w:type="dxa"/>
            <w:tcBorders>
              <w:top w:val="nil"/>
              <w:left w:val="nil"/>
              <w:bottom w:val="single" w:sz="4" w:space="0" w:color="auto"/>
              <w:right w:val="single" w:sz="4" w:space="0" w:color="auto"/>
            </w:tcBorders>
            <w:shd w:val="clear" w:color="auto" w:fill="auto"/>
            <w:noWrap/>
            <w:vAlign w:val="bottom"/>
            <w:hideMark/>
          </w:tcPr>
          <w:p w14:paraId="21FE7006"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13.15454545</w:t>
            </w:r>
          </w:p>
        </w:tc>
      </w:tr>
      <w:tr w:rsidR="00013E05" w:rsidRPr="00013E05" w14:paraId="4EDE6E55"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E4817F0"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Dec 2022</w:t>
            </w:r>
          </w:p>
        </w:tc>
        <w:tc>
          <w:tcPr>
            <w:tcW w:w="2340" w:type="dxa"/>
            <w:tcBorders>
              <w:top w:val="nil"/>
              <w:left w:val="nil"/>
              <w:bottom w:val="single" w:sz="4" w:space="0" w:color="auto"/>
              <w:right w:val="single" w:sz="4" w:space="0" w:color="auto"/>
            </w:tcBorders>
            <w:shd w:val="clear" w:color="auto" w:fill="auto"/>
            <w:noWrap/>
            <w:vAlign w:val="bottom"/>
            <w:hideMark/>
          </w:tcPr>
          <w:p w14:paraId="7ECB0DD4"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13.51454545</w:t>
            </w:r>
          </w:p>
        </w:tc>
      </w:tr>
      <w:tr w:rsidR="00013E05" w:rsidRPr="00013E05" w14:paraId="0E5D719A"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63B9782"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Jan 2023</w:t>
            </w:r>
          </w:p>
        </w:tc>
        <w:tc>
          <w:tcPr>
            <w:tcW w:w="2340" w:type="dxa"/>
            <w:tcBorders>
              <w:top w:val="nil"/>
              <w:left w:val="nil"/>
              <w:bottom w:val="single" w:sz="4" w:space="0" w:color="auto"/>
              <w:right w:val="single" w:sz="4" w:space="0" w:color="auto"/>
            </w:tcBorders>
            <w:shd w:val="clear" w:color="auto" w:fill="auto"/>
            <w:noWrap/>
            <w:vAlign w:val="bottom"/>
            <w:hideMark/>
          </w:tcPr>
          <w:p w14:paraId="77302DE4"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13.87454545</w:t>
            </w:r>
          </w:p>
        </w:tc>
      </w:tr>
      <w:tr w:rsidR="00013E05" w:rsidRPr="00013E05" w14:paraId="22B067C5"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1DBD878"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Feb 2023</w:t>
            </w:r>
          </w:p>
        </w:tc>
        <w:tc>
          <w:tcPr>
            <w:tcW w:w="2340" w:type="dxa"/>
            <w:tcBorders>
              <w:top w:val="nil"/>
              <w:left w:val="nil"/>
              <w:bottom w:val="single" w:sz="4" w:space="0" w:color="auto"/>
              <w:right w:val="single" w:sz="4" w:space="0" w:color="auto"/>
            </w:tcBorders>
            <w:shd w:val="clear" w:color="auto" w:fill="auto"/>
            <w:noWrap/>
            <w:vAlign w:val="bottom"/>
            <w:hideMark/>
          </w:tcPr>
          <w:p w14:paraId="5A0C3DEC"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14.23454545</w:t>
            </w:r>
          </w:p>
        </w:tc>
      </w:tr>
      <w:tr w:rsidR="00013E05" w:rsidRPr="00013E05" w14:paraId="08D909F1"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489ACA8"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Mar 2023</w:t>
            </w:r>
          </w:p>
        </w:tc>
        <w:tc>
          <w:tcPr>
            <w:tcW w:w="2340" w:type="dxa"/>
            <w:tcBorders>
              <w:top w:val="nil"/>
              <w:left w:val="nil"/>
              <w:bottom w:val="single" w:sz="4" w:space="0" w:color="auto"/>
              <w:right w:val="single" w:sz="4" w:space="0" w:color="auto"/>
            </w:tcBorders>
            <w:shd w:val="clear" w:color="auto" w:fill="auto"/>
            <w:noWrap/>
            <w:vAlign w:val="bottom"/>
            <w:hideMark/>
          </w:tcPr>
          <w:p w14:paraId="10B19CCC"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14.59454545</w:t>
            </w:r>
          </w:p>
        </w:tc>
      </w:tr>
      <w:tr w:rsidR="00013E05" w:rsidRPr="00013E05" w14:paraId="55AAF56E"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95F0F23"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Apr 2023</w:t>
            </w:r>
          </w:p>
        </w:tc>
        <w:tc>
          <w:tcPr>
            <w:tcW w:w="2340" w:type="dxa"/>
            <w:tcBorders>
              <w:top w:val="nil"/>
              <w:left w:val="nil"/>
              <w:bottom w:val="single" w:sz="4" w:space="0" w:color="auto"/>
              <w:right w:val="single" w:sz="4" w:space="0" w:color="auto"/>
            </w:tcBorders>
            <w:shd w:val="clear" w:color="auto" w:fill="auto"/>
            <w:noWrap/>
            <w:vAlign w:val="bottom"/>
            <w:hideMark/>
          </w:tcPr>
          <w:p w14:paraId="1ED4681D"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14.95454545</w:t>
            </w:r>
          </w:p>
        </w:tc>
      </w:tr>
      <w:tr w:rsidR="00013E05" w:rsidRPr="00013E05" w14:paraId="19927218"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A964F16"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May 2023</w:t>
            </w:r>
          </w:p>
        </w:tc>
        <w:tc>
          <w:tcPr>
            <w:tcW w:w="2340" w:type="dxa"/>
            <w:tcBorders>
              <w:top w:val="nil"/>
              <w:left w:val="nil"/>
              <w:bottom w:val="single" w:sz="4" w:space="0" w:color="auto"/>
              <w:right w:val="single" w:sz="4" w:space="0" w:color="auto"/>
            </w:tcBorders>
            <w:shd w:val="clear" w:color="auto" w:fill="auto"/>
            <w:noWrap/>
            <w:vAlign w:val="bottom"/>
            <w:hideMark/>
          </w:tcPr>
          <w:p w14:paraId="1364B578"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15.31454545</w:t>
            </w:r>
          </w:p>
        </w:tc>
      </w:tr>
      <w:tr w:rsidR="00013E05" w:rsidRPr="00013E05" w14:paraId="4D79F16D"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22FD0B9"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Jun 2023</w:t>
            </w:r>
          </w:p>
        </w:tc>
        <w:tc>
          <w:tcPr>
            <w:tcW w:w="2340" w:type="dxa"/>
            <w:tcBorders>
              <w:top w:val="nil"/>
              <w:left w:val="nil"/>
              <w:bottom w:val="single" w:sz="4" w:space="0" w:color="auto"/>
              <w:right w:val="single" w:sz="4" w:space="0" w:color="auto"/>
            </w:tcBorders>
            <w:shd w:val="clear" w:color="auto" w:fill="auto"/>
            <w:noWrap/>
            <w:vAlign w:val="bottom"/>
            <w:hideMark/>
          </w:tcPr>
          <w:p w14:paraId="1F67000F"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15.67454545</w:t>
            </w:r>
          </w:p>
        </w:tc>
      </w:tr>
      <w:tr w:rsidR="00013E05" w:rsidRPr="00013E05" w14:paraId="32B8DE2D"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A2FC25B"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Jul 2023</w:t>
            </w:r>
          </w:p>
        </w:tc>
        <w:tc>
          <w:tcPr>
            <w:tcW w:w="2340" w:type="dxa"/>
            <w:tcBorders>
              <w:top w:val="nil"/>
              <w:left w:val="nil"/>
              <w:bottom w:val="single" w:sz="4" w:space="0" w:color="auto"/>
              <w:right w:val="single" w:sz="4" w:space="0" w:color="auto"/>
            </w:tcBorders>
            <w:shd w:val="clear" w:color="auto" w:fill="auto"/>
            <w:noWrap/>
            <w:vAlign w:val="bottom"/>
            <w:hideMark/>
          </w:tcPr>
          <w:p w14:paraId="753FFC24"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16.03454545</w:t>
            </w:r>
          </w:p>
        </w:tc>
      </w:tr>
      <w:tr w:rsidR="00013E05" w:rsidRPr="00013E05" w14:paraId="459E4E73"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93029CE"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Aug 2023</w:t>
            </w:r>
          </w:p>
        </w:tc>
        <w:tc>
          <w:tcPr>
            <w:tcW w:w="2340" w:type="dxa"/>
            <w:tcBorders>
              <w:top w:val="nil"/>
              <w:left w:val="nil"/>
              <w:bottom w:val="single" w:sz="4" w:space="0" w:color="auto"/>
              <w:right w:val="single" w:sz="4" w:space="0" w:color="auto"/>
            </w:tcBorders>
            <w:shd w:val="clear" w:color="auto" w:fill="auto"/>
            <w:noWrap/>
            <w:vAlign w:val="bottom"/>
            <w:hideMark/>
          </w:tcPr>
          <w:p w14:paraId="47C0AC49"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16.39454545</w:t>
            </w:r>
          </w:p>
        </w:tc>
      </w:tr>
      <w:tr w:rsidR="00013E05" w:rsidRPr="00013E05" w14:paraId="0B42514D" w14:textId="77777777" w:rsidTr="00013E05">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5347B20" w14:textId="77777777" w:rsidR="00013E05" w:rsidRPr="00013E05" w:rsidRDefault="00013E05" w:rsidP="00013E05">
            <w:pPr>
              <w:spacing w:after="0" w:line="240" w:lineRule="auto"/>
              <w:rPr>
                <w:rFonts w:ascii="Calibri" w:eastAsia="Times New Roman" w:hAnsi="Calibri" w:cs="Calibri"/>
                <w:color w:val="000000"/>
              </w:rPr>
            </w:pPr>
            <w:r w:rsidRPr="00013E05">
              <w:rPr>
                <w:rFonts w:ascii="Calibri" w:eastAsia="Times New Roman" w:hAnsi="Calibri" w:cs="Calibri"/>
                <w:color w:val="000000"/>
              </w:rPr>
              <w:t>Sep 2023</w:t>
            </w:r>
          </w:p>
        </w:tc>
        <w:tc>
          <w:tcPr>
            <w:tcW w:w="2340" w:type="dxa"/>
            <w:tcBorders>
              <w:top w:val="nil"/>
              <w:left w:val="nil"/>
              <w:bottom w:val="single" w:sz="4" w:space="0" w:color="auto"/>
              <w:right w:val="single" w:sz="4" w:space="0" w:color="auto"/>
            </w:tcBorders>
            <w:shd w:val="clear" w:color="auto" w:fill="auto"/>
            <w:noWrap/>
            <w:vAlign w:val="bottom"/>
            <w:hideMark/>
          </w:tcPr>
          <w:p w14:paraId="2964634D" w14:textId="77777777" w:rsidR="00013E05" w:rsidRPr="00013E05" w:rsidRDefault="00013E05" w:rsidP="00013E05">
            <w:pPr>
              <w:spacing w:after="0" w:line="240" w:lineRule="auto"/>
              <w:jc w:val="right"/>
              <w:rPr>
                <w:rFonts w:ascii="Calibri" w:eastAsia="Times New Roman" w:hAnsi="Calibri" w:cs="Calibri"/>
                <w:color w:val="000000"/>
              </w:rPr>
            </w:pPr>
            <w:r w:rsidRPr="00013E05">
              <w:rPr>
                <w:rFonts w:ascii="Calibri" w:eastAsia="Times New Roman" w:hAnsi="Calibri" w:cs="Calibri"/>
                <w:color w:val="000000"/>
              </w:rPr>
              <w:t>16.75454545</w:t>
            </w:r>
          </w:p>
        </w:tc>
      </w:tr>
    </w:tbl>
    <w:p w14:paraId="307E2745" w14:textId="1B0A98EA" w:rsidR="00D566C7" w:rsidRDefault="00D566C7" w:rsidP="00D566C7">
      <w:r>
        <w:lastRenderedPageBreak/>
        <w:t xml:space="preserve"> The forecast shows that inflation rate might steadily increase in the next 2 years if the ongoing economic policies remain</w:t>
      </w:r>
      <w:r w:rsidR="00151C2F">
        <w:t>,</w:t>
      </w:r>
      <w:r w:rsidR="00A65597">
        <w:t xml:space="preserve"> surpassing</w:t>
      </w:r>
      <w:r w:rsidR="00892E52">
        <w:t xml:space="preserve"> the average of 15% by May 2023</w:t>
      </w:r>
      <w:r w:rsidR="0033772B">
        <w:t xml:space="preserve"> and reaching a probable </w:t>
      </w:r>
      <w:r w:rsidR="00D64D4E">
        <w:t>of 16,75% in September 2023.</w:t>
      </w:r>
    </w:p>
    <w:p w14:paraId="7F1F8BC4" w14:textId="77777777" w:rsidR="00550193" w:rsidRDefault="00550193" w:rsidP="00D566C7"/>
    <w:p w14:paraId="12164E63" w14:textId="34AC9A4C" w:rsidR="00550193" w:rsidRPr="00550193" w:rsidRDefault="00550193" w:rsidP="00550193">
      <w:pPr>
        <w:pStyle w:val="ListParagraph"/>
        <w:numPr>
          <w:ilvl w:val="0"/>
          <w:numId w:val="6"/>
        </w:numPr>
      </w:pPr>
      <w:r>
        <w:rPr>
          <w:b/>
          <w:bCs/>
        </w:rPr>
        <w:t>Eurozone countries</w:t>
      </w:r>
    </w:p>
    <w:p w14:paraId="2CB01DBD" w14:textId="46EDB14D" w:rsidR="00C64F29" w:rsidRDefault="00D7620E" w:rsidP="00C64F29">
      <w:r>
        <w:rPr>
          <w:noProof/>
        </w:rPr>
        <w:drawing>
          <wp:inline distT="0" distB="0" distL="0" distR="0" wp14:anchorId="739A8FBD" wp14:editId="1DD3F4B6">
            <wp:extent cx="5943600" cy="3857625"/>
            <wp:effectExtent l="0" t="0" r="0"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tbl>
      <w:tblPr>
        <w:tblW w:w="2347" w:type="dxa"/>
        <w:tblLook w:val="04A0" w:firstRow="1" w:lastRow="0" w:firstColumn="1" w:lastColumn="0" w:noHBand="0" w:noVBand="1"/>
      </w:tblPr>
      <w:tblGrid>
        <w:gridCol w:w="1795"/>
        <w:gridCol w:w="1387"/>
      </w:tblGrid>
      <w:tr w:rsidR="0026750D" w:rsidRPr="0026750D" w14:paraId="0980EAD2" w14:textId="77777777" w:rsidTr="0026750D">
        <w:trPr>
          <w:trHeight w:val="288"/>
        </w:trPr>
        <w:tc>
          <w:tcPr>
            <w:tcW w:w="1795"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144B188"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 </w:t>
            </w:r>
          </w:p>
        </w:tc>
        <w:tc>
          <w:tcPr>
            <w:tcW w:w="552" w:type="dxa"/>
            <w:tcBorders>
              <w:top w:val="single" w:sz="4" w:space="0" w:color="auto"/>
              <w:left w:val="nil"/>
              <w:bottom w:val="single" w:sz="4" w:space="0" w:color="auto"/>
              <w:right w:val="single" w:sz="4" w:space="0" w:color="auto"/>
            </w:tcBorders>
            <w:shd w:val="clear" w:color="000000" w:fill="8EA9DB"/>
            <w:noWrap/>
            <w:vAlign w:val="bottom"/>
            <w:hideMark/>
          </w:tcPr>
          <w:p w14:paraId="235B8819"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Point Forecast</w:t>
            </w:r>
          </w:p>
        </w:tc>
      </w:tr>
      <w:tr w:rsidR="0026750D" w:rsidRPr="0026750D" w14:paraId="53FE3464"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1BD358F"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Sep 2022</w:t>
            </w:r>
          </w:p>
        </w:tc>
        <w:tc>
          <w:tcPr>
            <w:tcW w:w="552" w:type="dxa"/>
            <w:tcBorders>
              <w:top w:val="nil"/>
              <w:left w:val="nil"/>
              <w:bottom w:val="single" w:sz="4" w:space="0" w:color="auto"/>
              <w:right w:val="single" w:sz="4" w:space="0" w:color="auto"/>
            </w:tcBorders>
            <w:shd w:val="clear" w:color="auto" w:fill="auto"/>
            <w:noWrap/>
            <w:vAlign w:val="bottom"/>
            <w:hideMark/>
          </w:tcPr>
          <w:p w14:paraId="42BC7C6D"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11.35474796</w:t>
            </w:r>
          </w:p>
        </w:tc>
      </w:tr>
      <w:tr w:rsidR="0026750D" w:rsidRPr="0026750D" w14:paraId="1FDE71BB"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A2CD584"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Oct 2022</w:t>
            </w:r>
          </w:p>
        </w:tc>
        <w:tc>
          <w:tcPr>
            <w:tcW w:w="552" w:type="dxa"/>
            <w:tcBorders>
              <w:top w:val="nil"/>
              <w:left w:val="nil"/>
              <w:bottom w:val="single" w:sz="4" w:space="0" w:color="auto"/>
              <w:right w:val="single" w:sz="4" w:space="0" w:color="auto"/>
            </w:tcBorders>
            <w:shd w:val="clear" w:color="auto" w:fill="auto"/>
            <w:noWrap/>
            <w:vAlign w:val="bottom"/>
            <w:hideMark/>
          </w:tcPr>
          <w:p w14:paraId="05080618"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11.76871892</w:t>
            </w:r>
          </w:p>
        </w:tc>
      </w:tr>
      <w:tr w:rsidR="0026750D" w:rsidRPr="0026750D" w14:paraId="5F8347AA"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3BDD073"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Nov 2022</w:t>
            </w:r>
          </w:p>
        </w:tc>
        <w:tc>
          <w:tcPr>
            <w:tcW w:w="552" w:type="dxa"/>
            <w:tcBorders>
              <w:top w:val="nil"/>
              <w:left w:val="nil"/>
              <w:bottom w:val="single" w:sz="4" w:space="0" w:color="auto"/>
              <w:right w:val="single" w:sz="4" w:space="0" w:color="auto"/>
            </w:tcBorders>
            <w:shd w:val="clear" w:color="auto" w:fill="auto"/>
            <w:noWrap/>
            <w:vAlign w:val="bottom"/>
            <w:hideMark/>
          </w:tcPr>
          <w:p w14:paraId="13F2AA7D"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12.07146354</w:t>
            </w:r>
          </w:p>
        </w:tc>
      </w:tr>
      <w:tr w:rsidR="0026750D" w:rsidRPr="0026750D" w14:paraId="0BA6C5AE"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A611ED2"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Dec 2022</w:t>
            </w:r>
          </w:p>
        </w:tc>
        <w:tc>
          <w:tcPr>
            <w:tcW w:w="552" w:type="dxa"/>
            <w:tcBorders>
              <w:top w:val="nil"/>
              <w:left w:val="nil"/>
              <w:bottom w:val="single" w:sz="4" w:space="0" w:color="auto"/>
              <w:right w:val="single" w:sz="4" w:space="0" w:color="auto"/>
            </w:tcBorders>
            <w:shd w:val="clear" w:color="auto" w:fill="auto"/>
            <w:noWrap/>
            <w:vAlign w:val="bottom"/>
            <w:hideMark/>
          </w:tcPr>
          <w:p w14:paraId="0AE844DF"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12.40896445</w:t>
            </w:r>
          </w:p>
        </w:tc>
      </w:tr>
      <w:tr w:rsidR="0026750D" w:rsidRPr="0026750D" w14:paraId="09EE6D5F"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7FA4D33"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Jan 2023</w:t>
            </w:r>
          </w:p>
        </w:tc>
        <w:tc>
          <w:tcPr>
            <w:tcW w:w="552" w:type="dxa"/>
            <w:tcBorders>
              <w:top w:val="nil"/>
              <w:left w:val="nil"/>
              <w:bottom w:val="single" w:sz="4" w:space="0" w:color="auto"/>
              <w:right w:val="single" w:sz="4" w:space="0" w:color="auto"/>
            </w:tcBorders>
            <w:shd w:val="clear" w:color="auto" w:fill="auto"/>
            <w:noWrap/>
            <w:vAlign w:val="bottom"/>
            <w:hideMark/>
          </w:tcPr>
          <w:p w14:paraId="78705EB6"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12.95366566</w:t>
            </w:r>
          </w:p>
        </w:tc>
      </w:tr>
      <w:tr w:rsidR="0026750D" w:rsidRPr="0026750D" w14:paraId="087E35EF"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AE695BA"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Feb 2023</w:t>
            </w:r>
          </w:p>
        </w:tc>
        <w:tc>
          <w:tcPr>
            <w:tcW w:w="552" w:type="dxa"/>
            <w:tcBorders>
              <w:top w:val="nil"/>
              <w:left w:val="nil"/>
              <w:bottom w:val="single" w:sz="4" w:space="0" w:color="auto"/>
              <w:right w:val="single" w:sz="4" w:space="0" w:color="auto"/>
            </w:tcBorders>
            <w:shd w:val="clear" w:color="auto" w:fill="auto"/>
            <w:noWrap/>
            <w:vAlign w:val="bottom"/>
            <w:hideMark/>
          </w:tcPr>
          <w:p w14:paraId="1B0ACD99"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13.34574159</w:t>
            </w:r>
          </w:p>
        </w:tc>
      </w:tr>
      <w:tr w:rsidR="0026750D" w:rsidRPr="0026750D" w14:paraId="7E410165"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CE7D302"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Mar 2023</w:t>
            </w:r>
          </w:p>
        </w:tc>
        <w:tc>
          <w:tcPr>
            <w:tcW w:w="552" w:type="dxa"/>
            <w:tcBorders>
              <w:top w:val="nil"/>
              <w:left w:val="nil"/>
              <w:bottom w:val="single" w:sz="4" w:space="0" w:color="auto"/>
              <w:right w:val="single" w:sz="4" w:space="0" w:color="auto"/>
            </w:tcBorders>
            <w:shd w:val="clear" w:color="auto" w:fill="auto"/>
            <w:noWrap/>
            <w:vAlign w:val="bottom"/>
            <w:hideMark/>
          </w:tcPr>
          <w:p w14:paraId="1496F4FB"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13.1073632</w:t>
            </w:r>
          </w:p>
        </w:tc>
      </w:tr>
      <w:tr w:rsidR="0026750D" w:rsidRPr="0026750D" w14:paraId="508E4D5F"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EDF7315"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Apr 2023</w:t>
            </w:r>
          </w:p>
        </w:tc>
        <w:tc>
          <w:tcPr>
            <w:tcW w:w="552" w:type="dxa"/>
            <w:tcBorders>
              <w:top w:val="nil"/>
              <w:left w:val="nil"/>
              <w:bottom w:val="single" w:sz="4" w:space="0" w:color="auto"/>
              <w:right w:val="single" w:sz="4" w:space="0" w:color="auto"/>
            </w:tcBorders>
            <w:shd w:val="clear" w:color="auto" w:fill="auto"/>
            <w:noWrap/>
            <w:vAlign w:val="bottom"/>
            <w:hideMark/>
          </w:tcPr>
          <w:p w14:paraId="7D4EBBF9"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13.51886408</w:t>
            </w:r>
          </w:p>
        </w:tc>
      </w:tr>
      <w:tr w:rsidR="0026750D" w:rsidRPr="0026750D" w14:paraId="2715AAF1"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E3B108C"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May 2023</w:t>
            </w:r>
          </w:p>
        </w:tc>
        <w:tc>
          <w:tcPr>
            <w:tcW w:w="552" w:type="dxa"/>
            <w:tcBorders>
              <w:top w:val="nil"/>
              <w:left w:val="nil"/>
              <w:bottom w:val="single" w:sz="4" w:space="0" w:color="auto"/>
              <w:right w:val="single" w:sz="4" w:space="0" w:color="auto"/>
            </w:tcBorders>
            <w:shd w:val="clear" w:color="auto" w:fill="auto"/>
            <w:noWrap/>
            <w:vAlign w:val="bottom"/>
            <w:hideMark/>
          </w:tcPr>
          <w:p w14:paraId="3AF6BF4C"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13.90900304</w:t>
            </w:r>
          </w:p>
        </w:tc>
      </w:tr>
      <w:tr w:rsidR="0026750D" w:rsidRPr="0026750D" w14:paraId="6F78123B"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54B9B59"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Jun 2023</w:t>
            </w:r>
          </w:p>
        </w:tc>
        <w:tc>
          <w:tcPr>
            <w:tcW w:w="552" w:type="dxa"/>
            <w:tcBorders>
              <w:top w:val="nil"/>
              <w:left w:val="nil"/>
              <w:bottom w:val="single" w:sz="4" w:space="0" w:color="auto"/>
              <w:right w:val="single" w:sz="4" w:space="0" w:color="auto"/>
            </w:tcBorders>
            <w:shd w:val="clear" w:color="auto" w:fill="auto"/>
            <w:noWrap/>
            <w:vAlign w:val="bottom"/>
            <w:hideMark/>
          </w:tcPr>
          <w:p w14:paraId="409356DC"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14.2092436</w:t>
            </w:r>
          </w:p>
        </w:tc>
      </w:tr>
      <w:tr w:rsidR="0026750D" w:rsidRPr="0026750D" w14:paraId="5E68190B"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C60593E"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Jul 2023</w:t>
            </w:r>
          </w:p>
        </w:tc>
        <w:tc>
          <w:tcPr>
            <w:tcW w:w="552" w:type="dxa"/>
            <w:tcBorders>
              <w:top w:val="nil"/>
              <w:left w:val="nil"/>
              <w:bottom w:val="single" w:sz="4" w:space="0" w:color="auto"/>
              <w:right w:val="single" w:sz="4" w:space="0" w:color="auto"/>
            </w:tcBorders>
            <w:shd w:val="clear" w:color="auto" w:fill="auto"/>
            <w:noWrap/>
            <w:vAlign w:val="bottom"/>
            <w:hideMark/>
          </w:tcPr>
          <w:p w14:paraId="474C8A72"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14.600464</w:t>
            </w:r>
          </w:p>
        </w:tc>
      </w:tr>
      <w:tr w:rsidR="0026750D" w:rsidRPr="0026750D" w14:paraId="1743EEF6"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A95AED5"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Aug 2023</w:t>
            </w:r>
          </w:p>
        </w:tc>
        <w:tc>
          <w:tcPr>
            <w:tcW w:w="552" w:type="dxa"/>
            <w:tcBorders>
              <w:top w:val="nil"/>
              <w:left w:val="nil"/>
              <w:bottom w:val="single" w:sz="4" w:space="0" w:color="auto"/>
              <w:right w:val="single" w:sz="4" w:space="0" w:color="auto"/>
            </w:tcBorders>
            <w:shd w:val="clear" w:color="auto" w:fill="auto"/>
            <w:noWrap/>
            <w:vAlign w:val="bottom"/>
            <w:hideMark/>
          </w:tcPr>
          <w:p w14:paraId="3B611A8A"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15.0488837</w:t>
            </w:r>
          </w:p>
        </w:tc>
      </w:tr>
      <w:tr w:rsidR="0026750D" w:rsidRPr="0026750D" w14:paraId="353497A8" w14:textId="77777777" w:rsidTr="0026750D">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4330A24" w14:textId="77777777" w:rsidR="0026750D" w:rsidRPr="0026750D" w:rsidRDefault="0026750D" w:rsidP="0026750D">
            <w:pPr>
              <w:spacing w:after="0" w:line="240" w:lineRule="auto"/>
              <w:rPr>
                <w:rFonts w:ascii="Calibri" w:eastAsia="Times New Roman" w:hAnsi="Calibri" w:cs="Calibri"/>
                <w:color w:val="000000"/>
              </w:rPr>
            </w:pPr>
            <w:r w:rsidRPr="0026750D">
              <w:rPr>
                <w:rFonts w:ascii="Calibri" w:eastAsia="Times New Roman" w:hAnsi="Calibri" w:cs="Calibri"/>
                <w:color w:val="000000"/>
              </w:rPr>
              <w:t>Sep 2023</w:t>
            </w:r>
          </w:p>
        </w:tc>
        <w:tc>
          <w:tcPr>
            <w:tcW w:w="552" w:type="dxa"/>
            <w:tcBorders>
              <w:top w:val="nil"/>
              <w:left w:val="nil"/>
              <w:bottom w:val="single" w:sz="4" w:space="0" w:color="auto"/>
              <w:right w:val="single" w:sz="4" w:space="0" w:color="auto"/>
            </w:tcBorders>
            <w:shd w:val="clear" w:color="auto" w:fill="auto"/>
            <w:noWrap/>
            <w:vAlign w:val="bottom"/>
            <w:hideMark/>
          </w:tcPr>
          <w:p w14:paraId="5518D873" w14:textId="77777777" w:rsidR="0026750D" w:rsidRPr="0026750D" w:rsidRDefault="0026750D" w:rsidP="0026750D">
            <w:pPr>
              <w:spacing w:after="0" w:line="240" w:lineRule="auto"/>
              <w:jc w:val="right"/>
              <w:rPr>
                <w:rFonts w:ascii="Calibri" w:eastAsia="Times New Roman" w:hAnsi="Calibri" w:cs="Calibri"/>
                <w:color w:val="000000"/>
              </w:rPr>
            </w:pPr>
            <w:r w:rsidRPr="0026750D">
              <w:rPr>
                <w:rFonts w:ascii="Calibri" w:eastAsia="Times New Roman" w:hAnsi="Calibri" w:cs="Calibri"/>
                <w:color w:val="000000"/>
              </w:rPr>
              <w:t>15.4201293</w:t>
            </w:r>
          </w:p>
        </w:tc>
      </w:tr>
    </w:tbl>
    <w:p w14:paraId="08BE7F70" w14:textId="77777777" w:rsidR="00410F98" w:rsidRDefault="00410F98" w:rsidP="00C64F29"/>
    <w:p w14:paraId="1B1EB49A" w14:textId="626CC2C1" w:rsidR="00E07265" w:rsidRDefault="00E07265" w:rsidP="00E07265">
      <w:r>
        <w:lastRenderedPageBreak/>
        <w:t xml:space="preserve">The forecast shows that inflation rate might steadily increase in the next 2 years if the ongoing economic policies remain, </w:t>
      </w:r>
      <w:r w:rsidR="0034712B">
        <w:t xml:space="preserve">reaching up to </w:t>
      </w:r>
      <w:r>
        <w:t>1</w:t>
      </w:r>
      <w:r w:rsidR="0034712B">
        <w:t>5</w:t>
      </w:r>
      <w:r>
        <w:t>,</w:t>
      </w:r>
      <w:r w:rsidR="0034712B">
        <w:t>42</w:t>
      </w:r>
      <w:r>
        <w:t>% in September 2023</w:t>
      </w:r>
      <w:r w:rsidR="0034712B">
        <w:t xml:space="preserve">, </w:t>
      </w:r>
      <w:r w:rsidR="00B86BCE">
        <w:t xml:space="preserve">nearly the same estimation for </w:t>
      </w:r>
      <w:proofErr w:type="gramStart"/>
      <w:r w:rsidR="00B86BCE">
        <w:t>Non Eurozone</w:t>
      </w:r>
      <w:proofErr w:type="gramEnd"/>
      <w:r w:rsidR="00B86BCE">
        <w:t xml:space="preserve"> countries</w:t>
      </w:r>
      <w:r w:rsidR="009F79FE">
        <w:t>.</w:t>
      </w:r>
    </w:p>
    <w:p w14:paraId="52139AC7" w14:textId="77777777" w:rsidR="00C64F29" w:rsidRDefault="00C64F29" w:rsidP="00C64F29"/>
    <w:p w14:paraId="46374C0B" w14:textId="54C1DF15" w:rsidR="000C65D2" w:rsidRDefault="000C65D2" w:rsidP="000C65D2">
      <w:pPr>
        <w:pStyle w:val="ListParagraph"/>
        <w:numPr>
          <w:ilvl w:val="0"/>
          <w:numId w:val="6"/>
        </w:numPr>
      </w:pPr>
      <w:r>
        <w:rPr>
          <w:b/>
          <w:bCs/>
        </w:rPr>
        <w:t>Russia</w:t>
      </w:r>
    </w:p>
    <w:p w14:paraId="20ABBEF4" w14:textId="77777777" w:rsidR="00C64F29" w:rsidRDefault="00C64F29" w:rsidP="00C64F29"/>
    <w:p w14:paraId="04D33D09" w14:textId="67D00400" w:rsidR="00C64F29" w:rsidRDefault="004453A4" w:rsidP="00C64F29">
      <w:r>
        <w:rPr>
          <w:noProof/>
        </w:rPr>
        <w:drawing>
          <wp:inline distT="0" distB="0" distL="0" distR="0" wp14:anchorId="32365B07" wp14:editId="54EF6D2B">
            <wp:extent cx="5943600" cy="3857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4326D222" w14:textId="77777777" w:rsidR="00C64F29" w:rsidRDefault="00C64F29" w:rsidP="00C64F29"/>
    <w:p w14:paraId="4D7E530A" w14:textId="16EDA134" w:rsidR="00732EBF" w:rsidRDefault="00732EBF" w:rsidP="00732EBF">
      <w:r>
        <w:t xml:space="preserve">The forecast shows that inflation rate </w:t>
      </w:r>
      <w:r w:rsidR="002C0961">
        <w:t xml:space="preserve">in Russia </w:t>
      </w:r>
      <w:r>
        <w:t xml:space="preserve">might </w:t>
      </w:r>
      <w:r w:rsidR="00796975">
        <w:t>maintain relatively stable during the next years</w:t>
      </w:r>
      <w:r w:rsidR="002C0961">
        <w:t xml:space="preserve"> or inclusively decline gradually</w:t>
      </w:r>
      <w:r w:rsidR="00805E10">
        <w:t xml:space="preserve"> to levels prior to 2022.</w:t>
      </w:r>
    </w:p>
    <w:p w14:paraId="6424FE42" w14:textId="77777777" w:rsidR="00BC2328" w:rsidRDefault="00BC2328" w:rsidP="00732EBF"/>
    <w:p w14:paraId="49EDC278" w14:textId="77777777" w:rsidR="00BC2328" w:rsidRDefault="00BC2328" w:rsidP="00732EBF"/>
    <w:p w14:paraId="5CF28EAE" w14:textId="77777777" w:rsidR="00BC2328" w:rsidRDefault="00BC2328" w:rsidP="00732EBF"/>
    <w:p w14:paraId="433766E3" w14:textId="77777777" w:rsidR="00BC2328" w:rsidRDefault="00BC2328" w:rsidP="00732EBF"/>
    <w:p w14:paraId="3908252E" w14:textId="77777777" w:rsidR="00BC2328" w:rsidRDefault="00BC2328" w:rsidP="00732EBF"/>
    <w:p w14:paraId="418EF00E" w14:textId="77777777" w:rsidR="00BC2328" w:rsidRDefault="00BC2328" w:rsidP="00732EBF"/>
    <w:p w14:paraId="38002F41" w14:textId="77777777" w:rsidR="00BC2328" w:rsidRDefault="00BC2328" w:rsidP="00732EBF"/>
    <w:p w14:paraId="760B530A" w14:textId="7BA3759C" w:rsidR="00BC2328" w:rsidRPr="00EF2643" w:rsidRDefault="00BC2328" w:rsidP="00BC2328">
      <w:pPr>
        <w:pStyle w:val="ListParagraph"/>
        <w:numPr>
          <w:ilvl w:val="0"/>
          <w:numId w:val="6"/>
        </w:numPr>
      </w:pPr>
      <w:r>
        <w:rPr>
          <w:b/>
          <w:bCs/>
        </w:rPr>
        <w:lastRenderedPageBreak/>
        <w:t>Turkey</w:t>
      </w:r>
    </w:p>
    <w:p w14:paraId="44507BA4" w14:textId="42A4DAB5" w:rsidR="00EF2643" w:rsidRDefault="00EF2643" w:rsidP="00EF2643">
      <w:r>
        <w:rPr>
          <w:noProof/>
        </w:rPr>
        <w:drawing>
          <wp:inline distT="0" distB="0" distL="0" distR="0" wp14:anchorId="4967241A" wp14:editId="5C2EBACB">
            <wp:extent cx="5943600" cy="3857625"/>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28E7CE0C" w14:textId="77777777" w:rsidR="00C64F29" w:rsidRDefault="00C64F29" w:rsidP="00C64F29"/>
    <w:p w14:paraId="0BAC2A09" w14:textId="77777777" w:rsidR="00C64F29" w:rsidRDefault="00C64F29" w:rsidP="00C64F29"/>
    <w:tbl>
      <w:tblPr>
        <w:tblW w:w="2965" w:type="dxa"/>
        <w:tblLook w:val="04A0" w:firstRow="1" w:lastRow="0" w:firstColumn="1" w:lastColumn="0" w:noHBand="0" w:noVBand="1"/>
      </w:tblPr>
      <w:tblGrid>
        <w:gridCol w:w="1615"/>
        <w:gridCol w:w="1350"/>
      </w:tblGrid>
      <w:tr w:rsidR="00E23166" w:rsidRPr="00E23166" w14:paraId="4364F67D" w14:textId="77777777" w:rsidTr="00E23166">
        <w:trPr>
          <w:trHeight w:val="288"/>
        </w:trPr>
        <w:tc>
          <w:tcPr>
            <w:tcW w:w="161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A3B9ADF"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 </w:t>
            </w:r>
          </w:p>
        </w:tc>
        <w:tc>
          <w:tcPr>
            <w:tcW w:w="1350" w:type="dxa"/>
            <w:tcBorders>
              <w:top w:val="single" w:sz="4" w:space="0" w:color="auto"/>
              <w:left w:val="nil"/>
              <w:bottom w:val="single" w:sz="4" w:space="0" w:color="auto"/>
              <w:right w:val="single" w:sz="4" w:space="0" w:color="auto"/>
            </w:tcBorders>
            <w:shd w:val="clear" w:color="000000" w:fill="B4C6E7"/>
            <w:noWrap/>
            <w:vAlign w:val="bottom"/>
            <w:hideMark/>
          </w:tcPr>
          <w:p w14:paraId="2BB1144F"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Point Forecast</w:t>
            </w:r>
          </w:p>
        </w:tc>
      </w:tr>
      <w:tr w:rsidR="00E23166" w:rsidRPr="00E23166" w14:paraId="61AFF791"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350E072"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Sep 2022</w:t>
            </w:r>
          </w:p>
        </w:tc>
        <w:tc>
          <w:tcPr>
            <w:tcW w:w="1350" w:type="dxa"/>
            <w:tcBorders>
              <w:top w:val="nil"/>
              <w:left w:val="nil"/>
              <w:bottom w:val="single" w:sz="4" w:space="0" w:color="auto"/>
              <w:right w:val="single" w:sz="4" w:space="0" w:color="auto"/>
            </w:tcBorders>
            <w:shd w:val="clear" w:color="auto" w:fill="auto"/>
            <w:noWrap/>
            <w:vAlign w:val="bottom"/>
            <w:hideMark/>
          </w:tcPr>
          <w:p w14:paraId="20BF3063"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83.58925</w:t>
            </w:r>
          </w:p>
        </w:tc>
      </w:tr>
      <w:tr w:rsidR="00E23166" w:rsidRPr="00E23166" w14:paraId="4B2C8DBD"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6B958F5"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Oct 2022</w:t>
            </w:r>
          </w:p>
        </w:tc>
        <w:tc>
          <w:tcPr>
            <w:tcW w:w="1350" w:type="dxa"/>
            <w:tcBorders>
              <w:top w:val="nil"/>
              <w:left w:val="nil"/>
              <w:bottom w:val="single" w:sz="4" w:space="0" w:color="auto"/>
              <w:right w:val="single" w:sz="4" w:space="0" w:color="auto"/>
            </w:tcBorders>
            <w:shd w:val="clear" w:color="auto" w:fill="auto"/>
            <w:noWrap/>
            <w:vAlign w:val="bottom"/>
            <w:hideMark/>
          </w:tcPr>
          <w:p w14:paraId="7F967C54"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87.38366</w:t>
            </w:r>
          </w:p>
        </w:tc>
      </w:tr>
      <w:tr w:rsidR="00E23166" w:rsidRPr="00E23166" w14:paraId="3DA2DA4F"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74662CE"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Nov 2022</w:t>
            </w:r>
          </w:p>
        </w:tc>
        <w:tc>
          <w:tcPr>
            <w:tcW w:w="1350" w:type="dxa"/>
            <w:tcBorders>
              <w:top w:val="nil"/>
              <w:left w:val="nil"/>
              <w:bottom w:val="single" w:sz="4" w:space="0" w:color="auto"/>
              <w:right w:val="single" w:sz="4" w:space="0" w:color="auto"/>
            </w:tcBorders>
            <w:shd w:val="clear" w:color="auto" w:fill="auto"/>
            <w:noWrap/>
            <w:vAlign w:val="bottom"/>
            <w:hideMark/>
          </w:tcPr>
          <w:p w14:paraId="324935D4"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91.17807</w:t>
            </w:r>
          </w:p>
        </w:tc>
      </w:tr>
      <w:tr w:rsidR="00E23166" w:rsidRPr="00E23166" w14:paraId="1AB083E0"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B9DEFCD"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Dec 2022</w:t>
            </w:r>
          </w:p>
        </w:tc>
        <w:tc>
          <w:tcPr>
            <w:tcW w:w="1350" w:type="dxa"/>
            <w:tcBorders>
              <w:top w:val="nil"/>
              <w:left w:val="nil"/>
              <w:bottom w:val="single" w:sz="4" w:space="0" w:color="auto"/>
              <w:right w:val="single" w:sz="4" w:space="0" w:color="auto"/>
            </w:tcBorders>
            <w:shd w:val="clear" w:color="auto" w:fill="auto"/>
            <w:noWrap/>
            <w:vAlign w:val="bottom"/>
            <w:hideMark/>
          </w:tcPr>
          <w:p w14:paraId="650562E9"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94.97249</w:t>
            </w:r>
          </w:p>
        </w:tc>
      </w:tr>
      <w:tr w:rsidR="00E23166" w:rsidRPr="00E23166" w14:paraId="43644934"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0BFEC30"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Jan 2023</w:t>
            </w:r>
          </w:p>
        </w:tc>
        <w:tc>
          <w:tcPr>
            <w:tcW w:w="1350" w:type="dxa"/>
            <w:tcBorders>
              <w:top w:val="nil"/>
              <w:left w:val="nil"/>
              <w:bottom w:val="single" w:sz="4" w:space="0" w:color="auto"/>
              <w:right w:val="single" w:sz="4" w:space="0" w:color="auto"/>
            </w:tcBorders>
            <w:shd w:val="clear" w:color="auto" w:fill="auto"/>
            <w:noWrap/>
            <w:vAlign w:val="bottom"/>
            <w:hideMark/>
          </w:tcPr>
          <w:p w14:paraId="5DD4AFAC"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98.7669</w:t>
            </w:r>
          </w:p>
        </w:tc>
      </w:tr>
      <w:tr w:rsidR="00E23166" w:rsidRPr="00E23166" w14:paraId="4BC4D8DA"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9592E86"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Feb 2023</w:t>
            </w:r>
          </w:p>
        </w:tc>
        <w:tc>
          <w:tcPr>
            <w:tcW w:w="1350" w:type="dxa"/>
            <w:tcBorders>
              <w:top w:val="nil"/>
              <w:left w:val="nil"/>
              <w:bottom w:val="single" w:sz="4" w:space="0" w:color="auto"/>
              <w:right w:val="single" w:sz="4" w:space="0" w:color="auto"/>
            </w:tcBorders>
            <w:shd w:val="clear" w:color="auto" w:fill="auto"/>
            <w:noWrap/>
            <w:vAlign w:val="bottom"/>
            <w:hideMark/>
          </w:tcPr>
          <w:p w14:paraId="6D5AB453"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102.5613</w:t>
            </w:r>
          </w:p>
        </w:tc>
      </w:tr>
      <w:tr w:rsidR="00E23166" w:rsidRPr="00E23166" w14:paraId="1616AF70"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59BFF10B"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Mar 2023</w:t>
            </w:r>
          </w:p>
        </w:tc>
        <w:tc>
          <w:tcPr>
            <w:tcW w:w="1350" w:type="dxa"/>
            <w:tcBorders>
              <w:top w:val="nil"/>
              <w:left w:val="nil"/>
              <w:bottom w:val="single" w:sz="4" w:space="0" w:color="auto"/>
              <w:right w:val="single" w:sz="4" w:space="0" w:color="auto"/>
            </w:tcBorders>
            <w:shd w:val="clear" w:color="auto" w:fill="auto"/>
            <w:noWrap/>
            <w:vAlign w:val="bottom"/>
            <w:hideMark/>
          </w:tcPr>
          <w:p w14:paraId="338F28A2"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106.3557</w:t>
            </w:r>
          </w:p>
        </w:tc>
      </w:tr>
      <w:tr w:rsidR="00E23166" w:rsidRPr="00E23166" w14:paraId="77200161"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F551454"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Apr 2023</w:t>
            </w:r>
          </w:p>
        </w:tc>
        <w:tc>
          <w:tcPr>
            <w:tcW w:w="1350" w:type="dxa"/>
            <w:tcBorders>
              <w:top w:val="nil"/>
              <w:left w:val="nil"/>
              <w:bottom w:val="single" w:sz="4" w:space="0" w:color="auto"/>
              <w:right w:val="single" w:sz="4" w:space="0" w:color="auto"/>
            </w:tcBorders>
            <w:shd w:val="clear" w:color="auto" w:fill="auto"/>
            <w:noWrap/>
            <w:vAlign w:val="bottom"/>
            <w:hideMark/>
          </w:tcPr>
          <w:p w14:paraId="7DF9E701"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110.1501</w:t>
            </w:r>
          </w:p>
        </w:tc>
      </w:tr>
      <w:tr w:rsidR="00E23166" w:rsidRPr="00E23166" w14:paraId="23EF7966"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1E1D55C"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May 2023</w:t>
            </w:r>
          </w:p>
        </w:tc>
        <w:tc>
          <w:tcPr>
            <w:tcW w:w="1350" w:type="dxa"/>
            <w:tcBorders>
              <w:top w:val="nil"/>
              <w:left w:val="nil"/>
              <w:bottom w:val="single" w:sz="4" w:space="0" w:color="auto"/>
              <w:right w:val="single" w:sz="4" w:space="0" w:color="auto"/>
            </w:tcBorders>
            <w:shd w:val="clear" w:color="auto" w:fill="auto"/>
            <w:noWrap/>
            <w:vAlign w:val="bottom"/>
            <w:hideMark/>
          </w:tcPr>
          <w:p w14:paraId="6FC2EC48"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113.9445</w:t>
            </w:r>
          </w:p>
        </w:tc>
      </w:tr>
      <w:tr w:rsidR="00E23166" w:rsidRPr="00E23166" w14:paraId="5AA15C19"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510FF9E"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Jun 2023</w:t>
            </w:r>
          </w:p>
        </w:tc>
        <w:tc>
          <w:tcPr>
            <w:tcW w:w="1350" w:type="dxa"/>
            <w:tcBorders>
              <w:top w:val="nil"/>
              <w:left w:val="nil"/>
              <w:bottom w:val="single" w:sz="4" w:space="0" w:color="auto"/>
              <w:right w:val="single" w:sz="4" w:space="0" w:color="auto"/>
            </w:tcBorders>
            <w:shd w:val="clear" w:color="auto" w:fill="auto"/>
            <w:noWrap/>
            <w:vAlign w:val="bottom"/>
            <w:hideMark/>
          </w:tcPr>
          <w:p w14:paraId="682B27C3"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117.739</w:t>
            </w:r>
          </w:p>
        </w:tc>
      </w:tr>
      <w:tr w:rsidR="00E23166" w:rsidRPr="00E23166" w14:paraId="4CF49265"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B571960"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Jul 2023</w:t>
            </w:r>
          </w:p>
        </w:tc>
        <w:tc>
          <w:tcPr>
            <w:tcW w:w="1350" w:type="dxa"/>
            <w:tcBorders>
              <w:top w:val="nil"/>
              <w:left w:val="nil"/>
              <w:bottom w:val="single" w:sz="4" w:space="0" w:color="auto"/>
              <w:right w:val="single" w:sz="4" w:space="0" w:color="auto"/>
            </w:tcBorders>
            <w:shd w:val="clear" w:color="auto" w:fill="auto"/>
            <w:noWrap/>
            <w:vAlign w:val="bottom"/>
            <w:hideMark/>
          </w:tcPr>
          <w:p w14:paraId="57756019"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121.5334</w:t>
            </w:r>
          </w:p>
        </w:tc>
      </w:tr>
      <w:tr w:rsidR="00E23166" w:rsidRPr="00E23166" w14:paraId="714A7D26"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5DA11B6F"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Aug 2023</w:t>
            </w:r>
          </w:p>
        </w:tc>
        <w:tc>
          <w:tcPr>
            <w:tcW w:w="1350" w:type="dxa"/>
            <w:tcBorders>
              <w:top w:val="nil"/>
              <w:left w:val="nil"/>
              <w:bottom w:val="single" w:sz="4" w:space="0" w:color="auto"/>
              <w:right w:val="single" w:sz="4" w:space="0" w:color="auto"/>
            </w:tcBorders>
            <w:shd w:val="clear" w:color="auto" w:fill="auto"/>
            <w:noWrap/>
            <w:vAlign w:val="bottom"/>
            <w:hideMark/>
          </w:tcPr>
          <w:p w14:paraId="08A65D00"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125.3278</w:t>
            </w:r>
          </w:p>
        </w:tc>
      </w:tr>
      <w:tr w:rsidR="00E23166" w:rsidRPr="00E23166" w14:paraId="2C20ABAE" w14:textId="77777777" w:rsidTr="00E23166">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51B004D4" w14:textId="77777777" w:rsidR="00E23166" w:rsidRPr="00E23166" w:rsidRDefault="00E23166" w:rsidP="00E23166">
            <w:pPr>
              <w:spacing w:after="0" w:line="240" w:lineRule="auto"/>
              <w:rPr>
                <w:rFonts w:ascii="Calibri" w:eastAsia="Times New Roman" w:hAnsi="Calibri" w:cs="Calibri"/>
                <w:color w:val="000000"/>
              </w:rPr>
            </w:pPr>
            <w:r w:rsidRPr="00E23166">
              <w:rPr>
                <w:rFonts w:ascii="Calibri" w:eastAsia="Times New Roman" w:hAnsi="Calibri" w:cs="Calibri"/>
                <w:color w:val="000000"/>
              </w:rPr>
              <w:t>Sep 2023</w:t>
            </w:r>
          </w:p>
        </w:tc>
        <w:tc>
          <w:tcPr>
            <w:tcW w:w="1350" w:type="dxa"/>
            <w:tcBorders>
              <w:top w:val="nil"/>
              <w:left w:val="nil"/>
              <w:bottom w:val="single" w:sz="4" w:space="0" w:color="auto"/>
              <w:right w:val="single" w:sz="4" w:space="0" w:color="auto"/>
            </w:tcBorders>
            <w:shd w:val="clear" w:color="auto" w:fill="auto"/>
            <w:noWrap/>
            <w:vAlign w:val="bottom"/>
            <w:hideMark/>
          </w:tcPr>
          <w:p w14:paraId="68B613C0" w14:textId="77777777" w:rsidR="00E23166" w:rsidRPr="00E23166" w:rsidRDefault="00E23166" w:rsidP="00E23166">
            <w:pPr>
              <w:spacing w:after="0" w:line="240" w:lineRule="auto"/>
              <w:jc w:val="right"/>
              <w:rPr>
                <w:rFonts w:ascii="Calibri" w:eastAsia="Times New Roman" w:hAnsi="Calibri" w:cs="Calibri"/>
                <w:color w:val="000000"/>
              </w:rPr>
            </w:pPr>
            <w:r w:rsidRPr="00E23166">
              <w:rPr>
                <w:rFonts w:ascii="Calibri" w:eastAsia="Times New Roman" w:hAnsi="Calibri" w:cs="Calibri"/>
                <w:color w:val="000000"/>
              </w:rPr>
              <w:t>129.1222</w:t>
            </w:r>
          </w:p>
        </w:tc>
      </w:tr>
    </w:tbl>
    <w:p w14:paraId="20A80225" w14:textId="77777777" w:rsidR="00C64F29" w:rsidRDefault="00C64F29" w:rsidP="00C64F29"/>
    <w:p w14:paraId="112516D1" w14:textId="075D4E90" w:rsidR="001A64D9" w:rsidRDefault="001A64D9" w:rsidP="00C64F29"/>
    <w:p w14:paraId="10E39C05" w14:textId="7A2A4F1E" w:rsidR="00E23166" w:rsidRDefault="00E23166" w:rsidP="00E23166">
      <w:r>
        <w:lastRenderedPageBreak/>
        <w:t>The forecast shows that inflation rate in Turkey</w:t>
      </w:r>
      <w:r w:rsidR="0014774E">
        <w:t xml:space="preserve"> </w:t>
      </w:r>
      <w:r>
        <w:t xml:space="preserve">might </w:t>
      </w:r>
      <w:r w:rsidR="0031706E">
        <w:t>aggressively</w:t>
      </w:r>
      <w:r>
        <w:t xml:space="preserve"> increase in the next 2 year</w:t>
      </w:r>
      <w:r w:rsidR="009B7DC0">
        <w:t>, even creating a future hyperinflation scen</w:t>
      </w:r>
      <w:r w:rsidR="00C34DD4">
        <w:t>ario</w:t>
      </w:r>
      <w:r>
        <w:t xml:space="preserve">, reaching </w:t>
      </w:r>
      <w:r w:rsidR="00C34DD4">
        <w:t>nearly 130% in</w:t>
      </w:r>
      <w:r w:rsidR="009F402E">
        <w:t xml:space="preserve"> September </w:t>
      </w:r>
      <w:proofErr w:type="gramStart"/>
      <w:r w:rsidR="009F402E">
        <w:t>2023</w:t>
      </w:r>
      <w:proofErr w:type="gramEnd"/>
      <w:r w:rsidR="009F402E">
        <w:t xml:space="preserve"> and surpassing 150% </w:t>
      </w:r>
      <w:r w:rsidR="000B3F20">
        <w:t xml:space="preserve">in 2024. Turkey has the highest inflation estimation </w:t>
      </w:r>
      <w:r w:rsidR="00137096">
        <w:t>in this analysis,</w:t>
      </w:r>
      <w:r w:rsidR="00DE11FC">
        <w:t xml:space="preserve"> far away from estimations applied on other groups and countries.</w:t>
      </w:r>
    </w:p>
    <w:p w14:paraId="5227BE68" w14:textId="77777777" w:rsidR="00DE11FC" w:rsidRDefault="00DE11FC" w:rsidP="00E23166"/>
    <w:p w14:paraId="4AC2E006" w14:textId="3E975ACA" w:rsidR="00DE11FC" w:rsidRDefault="00775FBC" w:rsidP="00775FBC">
      <w:pPr>
        <w:pStyle w:val="ListParagraph"/>
        <w:numPr>
          <w:ilvl w:val="0"/>
          <w:numId w:val="6"/>
        </w:numPr>
        <w:rPr>
          <w:b/>
          <w:bCs/>
        </w:rPr>
      </w:pPr>
      <w:r>
        <w:rPr>
          <w:b/>
          <w:bCs/>
        </w:rPr>
        <w:t>U</w:t>
      </w:r>
      <w:r w:rsidR="00CC1789">
        <w:rPr>
          <w:b/>
          <w:bCs/>
        </w:rPr>
        <w:t>nited States</w:t>
      </w:r>
    </w:p>
    <w:p w14:paraId="20DA2895" w14:textId="47B7B172" w:rsidR="00775FBC" w:rsidRPr="00775FBC" w:rsidRDefault="00775FBC" w:rsidP="00775FBC">
      <w:r>
        <w:rPr>
          <w:noProof/>
        </w:rPr>
        <w:drawing>
          <wp:inline distT="0" distB="0" distL="0" distR="0" wp14:anchorId="6D1F39DA" wp14:editId="11248EBE">
            <wp:extent cx="5943600" cy="3857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tbl>
      <w:tblPr>
        <w:tblW w:w="2819" w:type="dxa"/>
        <w:tblLook w:val="04A0" w:firstRow="1" w:lastRow="0" w:firstColumn="1" w:lastColumn="0" w:noHBand="0" w:noVBand="1"/>
      </w:tblPr>
      <w:tblGrid>
        <w:gridCol w:w="1766"/>
        <w:gridCol w:w="1053"/>
      </w:tblGrid>
      <w:tr w:rsidR="0031706E" w:rsidRPr="0031706E" w14:paraId="3BE022B6" w14:textId="77777777" w:rsidTr="0031706E">
        <w:trPr>
          <w:trHeight w:val="288"/>
        </w:trPr>
        <w:tc>
          <w:tcPr>
            <w:tcW w:w="176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9483939"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 </w:t>
            </w:r>
          </w:p>
        </w:tc>
        <w:tc>
          <w:tcPr>
            <w:tcW w:w="1053" w:type="dxa"/>
            <w:tcBorders>
              <w:top w:val="single" w:sz="4" w:space="0" w:color="auto"/>
              <w:left w:val="nil"/>
              <w:bottom w:val="single" w:sz="4" w:space="0" w:color="auto"/>
              <w:right w:val="single" w:sz="4" w:space="0" w:color="auto"/>
            </w:tcBorders>
            <w:shd w:val="clear" w:color="000000" w:fill="B4C6E7"/>
            <w:noWrap/>
            <w:vAlign w:val="bottom"/>
            <w:hideMark/>
          </w:tcPr>
          <w:p w14:paraId="32C7F3C9"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Point Forecast</w:t>
            </w:r>
          </w:p>
        </w:tc>
      </w:tr>
      <w:tr w:rsidR="0031706E" w:rsidRPr="0031706E" w14:paraId="22D07C06"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20A07EE7"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Sep 2022</w:t>
            </w:r>
          </w:p>
        </w:tc>
        <w:tc>
          <w:tcPr>
            <w:tcW w:w="1053" w:type="dxa"/>
            <w:tcBorders>
              <w:top w:val="nil"/>
              <w:left w:val="nil"/>
              <w:bottom w:val="single" w:sz="4" w:space="0" w:color="auto"/>
              <w:right w:val="single" w:sz="4" w:space="0" w:color="auto"/>
            </w:tcBorders>
            <w:shd w:val="clear" w:color="auto" w:fill="auto"/>
            <w:noWrap/>
            <w:vAlign w:val="bottom"/>
            <w:hideMark/>
          </w:tcPr>
          <w:p w14:paraId="48313524"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8.527264</w:t>
            </w:r>
          </w:p>
        </w:tc>
      </w:tr>
      <w:tr w:rsidR="0031706E" w:rsidRPr="0031706E" w14:paraId="2F6008A6"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3332B2C5"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Oct 2022</w:t>
            </w:r>
          </w:p>
        </w:tc>
        <w:tc>
          <w:tcPr>
            <w:tcW w:w="1053" w:type="dxa"/>
            <w:tcBorders>
              <w:top w:val="nil"/>
              <w:left w:val="nil"/>
              <w:bottom w:val="single" w:sz="4" w:space="0" w:color="auto"/>
              <w:right w:val="single" w:sz="4" w:space="0" w:color="auto"/>
            </w:tcBorders>
            <w:shd w:val="clear" w:color="auto" w:fill="auto"/>
            <w:noWrap/>
            <w:vAlign w:val="bottom"/>
            <w:hideMark/>
          </w:tcPr>
          <w:p w14:paraId="3B00F912"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8.39728</w:t>
            </w:r>
          </w:p>
        </w:tc>
      </w:tr>
      <w:tr w:rsidR="0031706E" w:rsidRPr="0031706E" w14:paraId="32FE6E2A"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12388B5E"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Nov 2022</w:t>
            </w:r>
          </w:p>
        </w:tc>
        <w:tc>
          <w:tcPr>
            <w:tcW w:w="1053" w:type="dxa"/>
            <w:tcBorders>
              <w:top w:val="nil"/>
              <w:left w:val="nil"/>
              <w:bottom w:val="single" w:sz="4" w:space="0" w:color="auto"/>
              <w:right w:val="single" w:sz="4" w:space="0" w:color="auto"/>
            </w:tcBorders>
            <w:shd w:val="clear" w:color="auto" w:fill="auto"/>
            <w:noWrap/>
            <w:vAlign w:val="bottom"/>
            <w:hideMark/>
          </w:tcPr>
          <w:p w14:paraId="1E475E6E"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8.281674</w:t>
            </w:r>
          </w:p>
        </w:tc>
      </w:tr>
      <w:tr w:rsidR="0031706E" w:rsidRPr="0031706E" w14:paraId="7393C9B3"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65D510AE"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Dec 2022</w:t>
            </w:r>
          </w:p>
        </w:tc>
        <w:tc>
          <w:tcPr>
            <w:tcW w:w="1053" w:type="dxa"/>
            <w:tcBorders>
              <w:top w:val="nil"/>
              <w:left w:val="nil"/>
              <w:bottom w:val="single" w:sz="4" w:space="0" w:color="auto"/>
              <w:right w:val="single" w:sz="4" w:space="0" w:color="auto"/>
            </w:tcBorders>
            <w:shd w:val="clear" w:color="auto" w:fill="auto"/>
            <w:noWrap/>
            <w:vAlign w:val="bottom"/>
            <w:hideMark/>
          </w:tcPr>
          <w:p w14:paraId="39EDD1BB"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8.368744</w:t>
            </w:r>
          </w:p>
        </w:tc>
      </w:tr>
      <w:tr w:rsidR="0031706E" w:rsidRPr="0031706E" w14:paraId="1806F307"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07ADBEE8"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Jan 2023</w:t>
            </w:r>
          </w:p>
        </w:tc>
        <w:tc>
          <w:tcPr>
            <w:tcW w:w="1053" w:type="dxa"/>
            <w:tcBorders>
              <w:top w:val="nil"/>
              <w:left w:val="nil"/>
              <w:bottom w:val="single" w:sz="4" w:space="0" w:color="auto"/>
              <w:right w:val="single" w:sz="4" w:space="0" w:color="auto"/>
            </w:tcBorders>
            <w:shd w:val="clear" w:color="auto" w:fill="auto"/>
            <w:noWrap/>
            <w:vAlign w:val="bottom"/>
            <w:hideMark/>
          </w:tcPr>
          <w:p w14:paraId="2F818CE5"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8.365314</w:t>
            </w:r>
          </w:p>
        </w:tc>
      </w:tr>
      <w:tr w:rsidR="0031706E" w:rsidRPr="0031706E" w14:paraId="06CEF89F"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5DA6121B"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Feb 2023</w:t>
            </w:r>
          </w:p>
        </w:tc>
        <w:tc>
          <w:tcPr>
            <w:tcW w:w="1053" w:type="dxa"/>
            <w:tcBorders>
              <w:top w:val="nil"/>
              <w:left w:val="nil"/>
              <w:bottom w:val="single" w:sz="4" w:space="0" w:color="auto"/>
              <w:right w:val="single" w:sz="4" w:space="0" w:color="auto"/>
            </w:tcBorders>
            <w:shd w:val="clear" w:color="auto" w:fill="auto"/>
            <w:noWrap/>
            <w:vAlign w:val="bottom"/>
            <w:hideMark/>
          </w:tcPr>
          <w:p w14:paraId="47118959"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8.40384</w:t>
            </w:r>
          </w:p>
        </w:tc>
      </w:tr>
      <w:tr w:rsidR="0031706E" w:rsidRPr="0031706E" w14:paraId="62BCCEC9"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4D24A4B5"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Mar 2023</w:t>
            </w:r>
          </w:p>
        </w:tc>
        <w:tc>
          <w:tcPr>
            <w:tcW w:w="1053" w:type="dxa"/>
            <w:tcBorders>
              <w:top w:val="nil"/>
              <w:left w:val="nil"/>
              <w:bottom w:val="single" w:sz="4" w:space="0" w:color="auto"/>
              <w:right w:val="single" w:sz="4" w:space="0" w:color="auto"/>
            </w:tcBorders>
            <w:shd w:val="clear" w:color="auto" w:fill="auto"/>
            <w:noWrap/>
            <w:vAlign w:val="bottom"/>
            <w:hideMark/>
          </w:tcPr>
          <w:p w14:paraId="11CF8F65"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8.134745</w:t>
            </w:r>
          </w:p>
        </w:tc>
      </w:tr>
      <w:tr w:rsidR="0031706E" w:rsidRPr="0031706E" w14:paraId="0AD340A7"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0055DE99"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Apr 2023</w:t>
            </w:r>
          </w:p>
        </w:tc>
        <w:tc>
          <w:tcPr>
            <w:tcW w:w="1053" w:type="dxa"/>
            <w:tcBorders>
              <w:top w:val="nil"/>
              <w:left w:val="nil"/>
              <w:bottom w:val="single" w:sz="4" w:space="0" w:color="auto"/>
              <w:right w:val="single" w:sz="4" w:space="0" w:color="auto"/>
            </w:tcBorders>
            <w:shd w:val="clear" w:color="auto" w:fill="auto"/>
            <w:noWrap/>
            <w:vAlign w:val="bottom"/>
            <w:hideMark/>
          </w:tcPr>
          <w:p w14:paraId="7949446F"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8.145605</w:t>
            </w:r>
          </w:p>
        </w:tc>
      </w:tr>
      <w:tr w:rsidR="0031706E" w:rsidRPr="0031706E" w14:paraId="2D36BDEE"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6563FEF0"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May 2023</w:t>
            </w:r>
          </w:p>
        </w:tc>
        <w:tc>
          <w:tcPr>
            <w:tcW w:w="1053" w:type="dxa"/>
            <w:tcBorders>
              <w:top w:val="nil"/>
              <w:left w:val="nil"/>
              <w:bottom w:val="single" w:sz="4" w:space="0" w:color="auto"/>
              <w:right w:val="single" w:sz="4" w:space="0" w:color="auto"/>
            </w:tcBorders>
            <w:shd w:val="clear" w:color="auto" w:fill="auto"/>
            <w:noWrap/>
            <w:vAlign w:val="bottom"/>
            <w:hideMark/>
          </w:tcPr>
          <w:p w14:paraId="483826D6"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8.139164</w:t>
            </w:r>
          </w:p>
        </w:tc>
      </w:tr>
      <w:tr w:rsidR="0031706E" w:rsidRPr="0031706E" w14:paraId="2A546F46"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2821134D"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Jun 2023</w:t>
            </w:r>
          </w:p>
        </w:tc>
        <w:tc>
          <w:tcPr>
            <w:tcW w:w="1053" w:type="dxa"/>
            <w:tcBorders>
              <w:top w:val="nil"/>
              <w:left w:val="nil"/>
              <w:bottom w:val="single" w:sz="4" w:space="0" w:color="auto"/>
              <w:right w:val="single" w:sz="4" w:space="0" w:color="auto"/>
            </w:tcBorders>
            <w:shd w:val="clear" w:color="auto" w:fill="auto"/>
            <w:noWrap/>
            <w:vAlign w:val="bottom"/>
            <w:hideMark/>
          </w:tcPr>
          <w:p w14:paraId="17EE4186"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7.886103</w:t>
            </w:r>
          </w:p>
        </w:tc>
      </w:tr>
      <w:tr w:rsidR="0031706E" w:rsidRPr="0031706E" w14:paraId="1610C0C2"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043D8FC0"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Jul 2023</w:t>
            </w:r>
          </w:p>
        </w:tc>
        <w:tc>
          <w:tcPr>
            <w:tcW w:w="1053" w:type="dxa"/>
            <w:tcBorders>
              <w:top w:val="nil"/>
              <w:left w:val="nil"/>
              <w:bottom w:val="single" w:sz="4" w:space="0" w:color="auto"/>
              <w:right w:val="single" w:sz="4" w:space="0" w:color="auto"/>
            </w:tcBorders>
            <w:shd w:val="clear" w:color="auto" w:fill="auto"/>
            <w:noWrap/>
            <w:vAlign w:val="bottom"/>
            <w:hideMark/>
          </w:tcPr>
          <w:p w14:paraId="48C05885"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8.540988</w:t>
            </w:r>
          </w:p>
        </w:tc>
      </w:tr>
      <w:tr w:rsidR="0031706E" w:rsidRPr="0031706E" w14:paraId="35FABE01"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1BBF8F2C"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Aug 2023</w:t>
            </w:r>
          </w:p>
        </w:tc>
        <w:tc>
          <w:tcPr>
            <w:tcW w:w="1053" w:type="dxa"/>
            <w:tcBorders>
              <w:top w:val="nil"/>
              <w:left w:val="nil"/>
              <w:bottom w:val="single" w:sz="4" w:space="0" w:color="auto"/>
              <w:right w:val="single" w:sz="4" w:space="0" w:color="auto"/>
            </w:tcBorders>
            <w:shd w:val="clear" w:color="auto" w:fill="auto"/>
            <w:noWrap/>
            <w:vAlign w:val="bottom"/>
            <w:hideMark/>
          </w:tcPr>
          <w:p w14:paraId="1EE44368"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9.033405</w:t>
            </w:r>
          </w:p>
        </w:tc>
      </w:tr>
      <w:tr w:rsidR="0031706E" w:rsidRPr="0031706E" w14:paraId="7D044D89" w14:textId="77777777" w:rsidTr="0031706E">
        <w:trPr>
          <w:trHeight w:val="288"/>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6F58024E" w14:textId="77777777" w:rsidR="0031706E" w:rsidRPr="0031706E" w:rsidRDefault="0031706E" w:rsidP="0031706E">
            <w:pPr>
              <w:spacing w:after="0" w:line="240" w:lineRule="auto"/>
              <w:rPr>
                <w:rFonts w:ascii="Calibri" w:eastAsia="Times New Roman" w:hAnsi="Calibri" w:cs="Calibri"/>
                <w:color w:val="000000"/>
              </w:rPr>
            </w:pPr>
            <w:r w:rsidRPr="0031706E">
              <w:rPr>
                <w:rFonts w:ascii="Calibri" w:eastAsia="Times New Roman" w:hAnsi="Calibri" w:cs="Calibri"/>
                <w:color w:val="000000"/>
              </w:rPr>
              <w:t>Sep 2023</w:t>
            </w:r>
          </w:p>
        </w:tc>
        <w:tc>
          <w:tcPr>
            <w:tcW w:w="1053" w:type="dxa"/>
            <w:tcBorders>
              <w:top w:val="nil"/>
              <w:left w:val="nil"/>
              <w:bottom w:val="single" w:sz="4" w:space="0" w:color="auto"/>
              <w:right w:val="single" w:sz="4" w:space="0" w:color="auto"/>
            </w:tcBorders>
            <w:shd w:val="clear" w:color="auto" w:fill="auto"/>
            <w:noWrap/>
            <w:vAlign w:val="bottom"/>
            <w:hideMark/>
          </w:tcPr>
          <w:p w14:paraId="1E5D514A" w14:textId="77777777" w:rsidR="0031706E" w:rsidRPr="0031706E" w:rsidRDefault="0031706E" w:rsidP="0031706E">
            <w:pPr>
              <w:spacing w:after="0" w:line="240" w:lineRule="auto"/>
              <w:jc w:val="right"/>
              <w:rPr>
                <w:rFonts w:ascii="Calibri" w:eastAsia="Times New Roman" w:hAnsi="Calibri" w:cs="Calibri"/>
                <w:color w:val="000000"/>
              </w:rPr>
            </w:pPr>
            <w:r w:rsidRPr="0031706E">
              <w:rPr>
                <w:rFonts w:ascii="Calibri" w:eastAsia="Times New Roman" w:hAnsi="Calibri" w:cs="Calibri"/>
                <w:color w:val="000000"/>
              </w:rPr>
              <w:t>9.185389</w:t>
            </w:r>
          </w:p>
        </w:tc>
      </w:tr>
    </w:tbl>
    <w:p w14:paraId="2385CD89" w14:textId="32FF674C" w:rsidR="0031706E" w:rsidRDefault="0031706E" w:rsidP="0031706E">
      <w:r>
        <w:lastRenderedPageBreak/>
        <w:t xml:space="preserve">The forecast shows that inflation rate in the USA might </w:t>
      </w:r>
      <w:r w:rsidR="00392C14">
        <w:t>gradually decline</w:t>
      </w:r>
      <w:r w:rsidR="00AF0319">
        <w:t xml:space="preserve"> to</w:t>
      </w:r>
      <w:r w:rsidR="00430FAC">
        <w:t xml:space="preserve"> 7,89% in June 2022,</w:t>
      </w:r>
      <w:r w:rsidR="00DC60D1">
        <w:t xml:space="preserve"> and then pushing back</w:t>
      </w:r>
      <w:r w:rsidR="00CC6405">
        <w:t xml:space="preserve"> to 9,18% in September 2023</w:t>
      </w:r>
      <w:r w:rsidR="00AF1BDF">
        <w:t>, inclusively breaking the barrier of 10% by 2024.</w:t>
      </w:r>
    </w:p>
    <w:p w14:paraId="6B31505B" w14:textId="671D2DEB" w:rsidR="00C64F29" w:rsidRDefault="00C64F29" w:rsidP="00C64F29"/>
    <w:p w14:paraId="0656F21C" w14:textId="43983268" w:rsidR="00F12176" w:rsidRPr="001E7E83" w:rsidRDefault="0014696A" w:rsidP="001E7E83">
      <w:pPr>
        <w:pStyle w:val="ListParagraph"/>
        <w:numPr>
          <w:ilvl w:val="0"/>
          <w:numId w:val="5"/>
        </w:numPr>
        <w:jc w:val="center"/>
      </w:pPr>
      <w:r>
        <w:rPr>
          <w:b/>
          <w:bCs/>
        </w:rPr>
        <w:t>Evolution of Unemployment</w:t>
      </w:r>
      <w:r w:rsidR="00FF6150">
        <w:rPr>
          <w:b/>
          <w:bCs/>
        </w:rPr>
        <w:t xml:space="preserve"> </w:t>
      </w:r>
      <w:r>
        <w:rPr>
          <w:b/>
          <w:bCs/>
        </w:rPr>
        <w:t>from 2019 to August 2022</w:t>
      </w:r>
    </w:p>
    <w:p w14:paraId="3E8C0499" w14:textId="77777777" w:rsidR="001E7E83" w:rsidRPr="001E7E83" w:rsidRDefault="001E7E83" w:rsidP="001E7E83">
      <w:pPr>
        <w:jc w:val="center"/>
      </w:pPr>
    </w:p>
    <w:p w14:paraId="29B3B64F" w14:textId="77777777" w:rsidR="00F12176" w:rsidRDefault="00F12176" w:rsidP="00F12176">
      <w:pPr>
        <w:pStyle w:val="ListParagraph"/>
        <w:ind w:left="1080"/>
        <w:rPr>
          <w:b/>
          <w:bCs/>
        </w:rPr>
      </w:pPr>
    </w:p>
    <w:p w14:paraId="4F7B1C5D" w14:textId="77777777" w:rsidR="00151535" w:rsidRDefault="001E7E83" w:rsidP="001E7E83">
      <w:pPr>
        <w:jc w:val="both"/>
      </w:pPr>
      <w:r>
        <w:rPr>
          <w:noProof/>
        </w:rPr>
        <w:drawing>
          <wp:inline distT="0" distB="0" distL="0" distR="0" wp14:anchorId="12133D35" wp14:editId="296C532D">
            <wp:extent cx="5943600" cy="3857625"/>
            <wp:effectExtent l="0" t="0" r="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3120673F" w14:textId="77777777" w:rsidR="000524EC" w:rsidRDefault="000524EC" w:rsidP="001E7E83">
      <w:pPr>
        <w:jc w:val="both"/>
      </w:pPr>
    </w:p>
    <w:p w14:paraId="7CAE1181" w14:textId="0C925D85" w:rsidR="000524EC" w:rsidRDefault="000524EC" w:rsidP="000524EC">
      <w:r>
        <w:t xml:space="preserve">The </w:t>
      </w:r>
      <w:r w:rsidR="00CC1789">
        <w:t>chart</w:t>
      </w:r>
      <w:r>
        <w:t xml:space="preserve"> shows that </w:t>
      </w:r>
      <w:r w:rsidR="00F36E8B">
        <w:t xml:space="preserve">the average of </w:t>
      </w:r>
      <w:r w:rsidR="002571CE">
        <w:t>unemployment rate in eurozone countries</w:t>
      </w:r>
      <w:r w:rsidR="00A64ADA">
        <w:t xml:space="preserve"> has slightly varied throughout the</w:t>
      </w:r>
      <w:r w:rsidR="00D918B5">
        <w:t xml:space="preserve"> study</w:t>
      </w:r>
      <w:r w:rsidR="00D92A12">
        <w:t>, notoriously incre</w:t>
      </w:r>
      <w:r w:rsidR="00262B82">
        <w:t>ased</w:t>
      </w:r>
      <w:r w:rsidR="00C164EA">
        <w:t xml:space="preserve"> since April 202</w:t>
      </w:r>
      <w:r w:rsidR="009C1F68">
        <w:t>0</w:t>
      </w:r>
      <w:r w:rsidR="00C164EA">
        <w:t>, likely due to the lockdown occasioned by the covid 2019 pandemic</w:t>
      </w:r>
      <w:r w:rsidR="0053728A">
        <w:t>. Howe</w:t>
      </w:r>
      <w:r w:rsidR="006A5DFB">
        <w:t>ver, the unemployment rate</w:t>
      </w:r>
      <w:r w:rsidR="0041264F">
        <w:t xml:space="preserve"> started dropping down</w:t>
      </w:r>
      <w:r w:rsidR="00AF520D">
        <w:t xml:space="preserve"> since April 202</w:t>
      </w:r>
      <w:r w:rsidR="00C70399">
        <w:t>1</w:t>
      </w:r>
      <w:r w:rsidR="00400EA4">
        <w:t xml:space="preserve"> to current levels</w:t>
      </w:r>
      <w:r w:rsidR="00677385">
        <w:t xml:space="preserve"> of almost 6,5%.</w:t>
      </w:r>
    </w:p>
    <w:p w14:paraId="140AC82D" w14:textId="77777777" w:rsidR="000524EC" w:rsidRDefault="000524EC" w:rsidP="001E7E83">
      <w:pPr>
        <w:jc w:val="both"/>
      </w:pPr>
    </w:p>
    <w:p w14:paraId="1D207459" w14:textId="77777777" w:rsidR="00E53F6A" w:rsidRDefault="001E7E83" w:rsidP="001E7E83">
      <w:pPr>
        <w:jc w:val="both"/>
      </w:pPr>
      <w:r>
        <w:rPr>
          <w:noProof/>
        </w:rPr>
        <w:lastRenderedPageBreak/>
        <w:drawing>
          <wp:inline distT="0" distB="0" distL="0" distR="0" wp14:anchorId="5CD6297F" wp14:editId="4236B2BA">
            <wp:extent cx="5943600" cy="3857625"/>
            <wp:effectExtent l="0" t="0" r="0"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31B728A1" w14:textId="77777777" w:rsidR="00E53F6A" w:rsidRDefault="00E53F6A" w:rsidP="001E7E83">
      <w:pPr>
        <w:jc w:val="both"/>
      </w:pPr>
    </w:p>
    <w:p w14:paraId="5D0C5678" w14:textId="2AD9F5A6" w:rsidR="00E53F6A" w:rsidRDefault="00E53F6A" w:rsidP="00E53F6A">
      <w:r>
        <w:t xml:space="preserve">The </w:t>
      </w:r>
      <w:r w:rsidR="00CC1789">
        <w:t>chart</w:t>
      </w:r>
      <w:r>
        <w:t xml:space="preserve"> shows that the average of unemployment rate in </w:t>
      </w:r>
      <w:r w:rsidR="00C45367">
        <w:t>non</w:t>
      </w:r>
      <w:r w:rsidR="00C956C8">
        <w:t>-</w:t>
      </w:r>
      <w:r>
        <w:t>eurozone countries has slightly varied throughout the study, notoriously increas</w:t>
      </w:r>
      <w:r w:rsidR="00247421">
        <w:t>ed</w:t>
      </w:r>
      <w:r>
        <w:t xml:space="preserve"> since </w:t>
      </w:r>
      <w:r w:rsidR="00C87DEE">
        <w:t>December</w:t>
      </w:r>
      <w:r>
        <w:t xml:space="preserve"> 20</w:t>
      </w:r>
      <w:r w:rsidR="00C87DEE">
        <w:t>19</w:t>
      </w:r>
      <w:r>
        <w:t>,</w:t>
      </w:r>
      <w:r w:rsidR="00247421">
        <w:t xml:space="preserve"> and accelerated its pace</w:t>
      </w:r>
      <w:r w:rsidR="007D5FF6">
        <w:t xml:space="preserve"> in March 2022</w:t>
      </w:r>
      <w:r>
        <w:t xml:space="preserve"> likely due to the lockdown occasioned by the covid 2019 pandemic. However, the unemployment rate started dropping down since </w:t>
      </w:r>
      <w:r w:rsidR="00A22420">
        <w:t>February</w:t>
      </w:r>
      <w:r>
        <w:t xml:space="preserve"> 202</w:t>
      </w:r>
      <w:r w:rsidR="00A22420">
        <w:t>1</w:t>
      </w:r>
      <w:r>
        <w:t xml:space="preserve"> to current levels </w:t>
      </w:r>
      <w:r w:rsidR="005E5DB2">
        <w:t>below</w:t>
      </w:r>
      <w:r w:rsidR="00581A5F">
        <w:t xml:space="preserve"> 4,5%.</w:t>
      </w:r>
    </w:p>
    <w:p w14:paraId="0DD26F81" w14:textId="77777777" w:rsidR="00E53F6A" w:rsidRDefault="00E53F6A" w:rsidP="001E7E83">
      <w:pPr>
        <w:jc w:val="both"/>
      </w:pPr>
    </w:p>
    <w:p w14:paraId="4F24FEAC" w14:textId="318D847D" w:rsidR="00F12176" w:rsidRPr="00080183" w:rsidRDefault="001E7E83" w:rsidP="001E7E83">
      <w:pPr>
        <w:jc w:val="both"/>
      </w:pPr>
      <w:r>
        <w:rPr>
          <w:noProof/>
        </w:rPr>
        <w:lastRenderedPageBreak/>
        <w:drawing>
          <wp:inline distT="0" distB="0" distL="0" distR="0" wp14:anchorId="56F2591C" wp14:editId="2C1CB618">
            <wp:extent cx="5943600" cy="3857625"/>
            <wp:effectExtent l="0" t="0" r="0" b="952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53BE18C1" w14:textId="65778615" w:rsidR="008720A0" w:rsidRDefault="008720A0"/>
    <w:p w14:paraId="293883DC" w14:textId="77777777" w:rsidR="008C0CB2" w:rsidRDefault="008C0CB2"/>
    <w:p w14:paraId="7571D8AA" w14:textId="12E70357" w:rsidR="007F15AB" w:rsidRDefault="007F15AB" w:rsidP="007F15AB">
      <w:r>
        <w:t xml:space="preserve">The </w:t>
      </w:r>
      <w:r w:rsidR="00CC1789">
        <w:t>chart</w:t>
      </w:r>
      <w:r>
        <w:t xml:space="preserve"> shows that the average of unemployment rate in </w:t>
      </w:r>
      <w:r w:rsidR="00DB3871">
        <w:t>the USA</w:t>
      </w:r>
      <w:r>
        <w:t xml:space="preserve"> </w:t>
      </w:r>
      <w:r w:rsidR="0016104A">
        <w:t>maintained stable until the first quarter of 2022</w:t>
      </w:r>
      <w:r w:rsidR="003D7F7B">
        <w:t xml:space="preserve"> and </w:t>
      </w:r>
      <w:r>
        <w:t xml:space="preserve">notoriously increased </w:t>
      </w:r>
      <w:r w:rsidR="003D7F7B">
        <w:t>in March 2020 surpassing</w:t>
      </w:r>
      <w:r w:rsidR="00F33B32">
        <w:t xml:space="preserve"> 12% momentarily, likely due to the lockdowns occasioned by the covid 2019 pandemic</w:t>
      </w:r>
      <w:r>
        <w:t xml:space="preserve">. However, the unemployment rate started dropping down since </w:t>
      </w:r>
      <w:r w:rsidR="001539F2">
        <w:t>April</w:t>
      </w:r>
      <w:r>
        <w:t xml:space="preserve"> 2021 to current levels </w:t>
      </w:r>
      <w:r w:rsidR="005E5DB2">
        <w:t>Below</w:t>
      </w:r>
      <w:r>
        <w:t xml:space="preserve"> 5%.</w:t>
      </w:r>
    </w:p>
    <w:p w14:paraId="1AD3D38D" w14:textId="3DA511B7" w:rsidR="008C0CB2" w:rsidRDefault="008C0CB2"/>
    <w:p w14:paraId="73E28335" w14:textId="01DEE487" w:rsidR="00C815AF" w:rsidRDefault="00C815AF">
      <w:r>
        <w:rPr>
          <w:noProof/>
        </w:rPr>
        <w:lastRenderedPageBreak/>
        <w:drawing>
          <wp:inline distT="0" distB="0" distL="0" distR="0" wp14:anchorId="5EF1C956" wp14:editId="0DB80B2B">
            <wp:extent cx="594360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57A7D128" w14:textId="3CE8514C" w:rsidR="004831EA" w:rsidRDefault="004831EA" w:rsidP="004831EA">
      <w:r>
        <w:t xml:space="preserve">The </w:t>
      </w:r>
      <w:r w:rsidR="00162A5F">
        <w:t>chart</w:t>
      </w:r>
      <w:r>
        <w:t xml:space="preserve"> shows that </w:t>
      </w:r>
      <w:r w:rsidR="00EE4B72">
        <w:t>unemployment</w:t>
      </w:r>
      <w:r>
        <w:t xml:space="preserve"> rate</w:t>
      </w:r>
      <w:r w:rsidR="001C1B98">
        <w:t xml:space="preserve"> maintained relatively stable</w:t>
      </w:r>
      <w:r>
        <w:t xml:space="preserve"> throughout the period, highlighting Turkey with </w:t>
      </w:r>
      <w:r w:rsidR="006765B3">
        <w:t>the highest rate until</w:t>
      </w:r>
      <w:r w:rsidR="00182AC7">
        <w:t xml:space="preserve"> November 2021, due to lack of data</w:t>
      </w:r>
      <w:r w:rsidR="00BA30D6">
        <w:t xml:space="preserve"> as Russia that </w:t>
      </w:r>
      <w:r w:rsidR="006D2023">
        <w:t>was not analyzed</w:t>
      </w:r>
      <w:r w:rsidR="00182AC7">
        <w:t>, remarking</w:t>
      </w:r>
      <w:r w:rsidR="00842D80">
        <w:t xml:space="preserve"> that unemployment in the USA hiked up</w:t>
      </w:r>
      <w:r w:rsidR="00726709">
        <w:t xml:space="preserve"> in April</w:t>
      </w:r>
      <w:r>
        <w:t xml:space="preserve"> 202</w:t>
      </w:r>
      <w:r w:rsidR="00726709">
        <w:t>0</w:t>
      </w:r>
      <w:r>
        <w:t>.</w:t>
      </w:r>
    </w:p>
    <w:p w14:paraId="72C3ABEE" w14:textId="3A862916" w:rsidR="004831EA" w:rsidRDefault="002844AA">
      <w:r>
        <w:t xml:space="preserve">During </w:t>
      </w:r>
      <w:r w:rsidR="0041332D">
        <w:t xml:space="preserve">the 8 months study in 2022, the euro zone countries group have the highest </w:t>
      </w:r>
      <w:r w:rsidR="00AD3E5E">
        <w:t>unemployment rate on average</w:t>
      </w:r>
      <w:r w:rsidR="00C7608D">
        <w:t>, surpassing 6%</w:t>
      </w:r>
      <w:r w:rsidR="00A32E57">
        <w:t xml:space="preserve">, </w:t>
      </w:r>
      <w:r w:rsidR="00BD34A0">
        <w:t xml:space="preserve">and </w:t>
      </w:r>
      <w:r w:rsidR="00A32E57">
        <w:t>being the USA the country with the lowest rate after a</w:t>
      </w:r>
      <w:r w:rsidR="00AE2DA8">
        <w:t xml:space="preserve"> continuous decline since</w:t>
      </w:r>
      <w:r w:rsidR="008922E9">
        <w:t xml:space="preserve"> the</w:t>
      </w:r>
      <w:r w:rsidR="00AE74AC">
        <w:t xml:space="preserve"> big</w:t>
      </w:r>
      <w:r w:rsidR="008922E9">
        <w:t xml:space="preserve"> hike in April 2020.</w:t>
      </w:r>
    </w:p>
    <w:p w14:paraId="67B5BB28" w14:textId="77777777" w:rsidR="0028693E" w:rsidRDefault="0028693E"/>
    <w:p w14:paraId="60B014E6" w14:textId="77777777" w:rsidR="0028693E" w:rsidRDefault="0028693E"/>
    <w:p w14:paraId="57E2C384" w14:textId="77777777" w:rsidR="0028693E" w:rsidRDefault="0028693E"/>
    <w:p w14:paraId="36DF4A8E" w14:textId="77777777" w:rsidR="0028693E" w:rsidRDefault="0028693E"/>
    <w:p w14:paraId="2C288099" w14:textId="77777777" w:rsidR="0028693E" w:rsidRDefault="0028693E"/>
    <w:p w14:paraId="587FD114" w14:textId="77777777" w:rsidR="0028693E" w:rsidRDefault="0028693E"/>
    <w:p w14:paraId="1454789A" w14:textId="77777777" w:rsidR="0028693E" w:rsidRDefault="0028693E"/>
    <w:p w14:paraId="2350EFBC" w14:textId="77777777" w:rsidR="0028693E" w:rsidRDefault="0028693E"/>
    <w:p w14:paraId="576F5857" w14:textId="77777777" w:rsidR="0028693E" w:rsidRDefault="0028693E"/>
    <w:p w14:paraId="052A5E6D" w14:textId="77777777" w:rsidR="00941307" w:rsidRDefault="00941307"/>
    <w:p w14:paraId="5722F85D" w14:textId="44E955AF" w:rsidR="00941307" w:rsidRPr="0016181D" w:rsidRDefault="00941307" w:rsidP="00941307">
      <w:pPr>
        <w:pStyle w:val="ListParagraph"/>
        <w:numPr>
          <w:ilvl w:val="0"/>
          <w:numId w:val="5"/>
        </w:numPr>
        <w:jc w:val="center"/>
      </w:pPr>
      <w:r>
        <w:rPr>
          <w:b/>
          <w:bCs/>
        </w:rPr>
        <w:lastRenderedPageBreak/>
        <w:t>Unemployment forecast</w:t>
      </w:r>
    </w:p>
    <w:p w14:paraId="3A512C73" w14:textId="77777777" w:rsidR="00941307" w:rsidRDefault="00941307"/>
    <w:p w14:paraId="4F676165" w14:textId="4FFD53D7" w:rsidR="0028693E" w:rsidRPr="00BC5475" w:rsidRDefault="007F4049" w:rsidP="007F4049">
      <w:pPr>
        <w:pStyle w:val="ListParagraph"/>
        <w:numPr>
          <w:ilvl w:val="0"/>
          <w:numId w:val="5"/>
        </w:numPr>
      </w:pPr>
      <w:proofErr w:type="gramStart"/>
      <w:r>
        <w:rPr>
          <w:b/>
          <w:bCs/>
        </w:rPr>
        <w:t>Non Eurozone</w:t>
      </w:r>
      <w:proofErr w:type="gramEnd"/>
      <w:r>
        <w:rPr>
          <w:b/>
          <w:bCs/>
        </w:rPr>
        <w:t xml:space="preserve"> countries</w:t>
      </w:r>
    </w:p>
    <w:p w14:paraId="395C56F5" w14:textId="77777777" w:rsidR="00BC5475" w:rsidRDefault="00BC5475" w:rsidP="00BC5475">
      <w:pPr>
        <w:pStyle w:val="ListParagraph"/>
      </w:pPr>
    </w:p>
    <w:p w14:paraId="390CC131" w14:textId="2016EDBE" w:rsidR="00BC5475" w:rsidRDefault="00BC5475" w:rsidP="00BC5475">
      <w:r>
        <w:rPr>
          <w:noProof/>
        </w:rPr>
        <w:drawing>
          <wp:inline distT="0" distB="0" distL="0" distR="0" wp14:anchorId="2AAB4A72" wp14:editId="0496128E">
            <wp:extent cx="5943600" cy="3857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tbl>
      <w:tblPr>
        <w:tblW w:w="2347" w:type="dxa"/>
        <w:tblLook w:val="04A0" w:firstRow="1" w:lastRow="0" w:firstColumn="1" w:lastColumn="0" w:noHBand="0" w:noVBand="1"/>
      </w:tblPr>
      <w:tblGrid>
        <w:gridCol w:w="1255"/>
        <w:gridCol w:w="1387"/>
      </w:tblGrid>
      <w:tr w:rsidR="00A5352F" w:rsidRPr="00A5352F" w14:paraId="25FD24D0" w14:textId="77777777" w:rsidTr="00A5352F">
        <w:trPr>
          <w:trHeight w:val="288"/>
        </w:trPr>
        <w:tc>
          <w:tcPr>
            <w:tcW w:w="125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6AF08B1"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 </w:t>
            </w:r>
          </w:p>
        </w:tc>
        <w:tc>
          <w:tcPr>
            <w:tcW w:w="1092" w:type="dxa"/>
            <w:tcBorders>
              <w:top w:val="single" w:sz="4" w:space="0" w:color="auto"/>
              <w:left w:val="nil"/>
              <w:bottom w:val="single" w:sz="4" w:space="0" w:color="auto"/>
              <w:right w:val="single" w:sz="4" w:space="0" w:color="auto"/>
            </w:tcBorders>
            <w:shd w:val="clear" w:color="000000" w:fill="B4C6E7"/>
            <w:noWrap/>
            <w:vAlign w:val="bottom"/>
            <w:hideMark/>
          </w:tcPr>
          <w:p w14:paraId="63ED69B5"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Point Forecast</w:t>
            </w:r>
          </w:p>
        </w:tc>
      </w:tr>
      <w:tr w:rsidR="00A5352F" w:rsidRPr="00A5352F" w14:paraId="3D0B9566"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7B7A1427"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Sep 2022</w:t>
            </w:r>
          </w:p>
        </w:tc>
        <w:tc>
          <w:tcPr>
            <w:tcW w:w="1092" w:type="dxa"/>
            <w:tcBorders>
              <w:top w:val="nil"/>
              <w:left w:val="nil"/>
              <w:bottom w:val="single" w:sz="4" w:space="0" w:color="auto"/>
              <w:right w:val="single" w:sz="4" w:space="0" w:color="auto"/>
            </w:tcBorders>
            <w:shd w:val="clear" w:color="auto" w:fill="auto"/>
            <w:noWrap/>
            <w:vAlign w:val="bottom"/>
            <w:hideMark/>
          </w:tcPr>
          <w:p w14:paraId="15641F25"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4.336709107</w:t>
            </w:r>
          </w:p>
        </w:tc>
      </w:tr>
      <w:tr w:rsidR="00A5352F" w:rsidRPr="00A5352F" w14:paraId="7718D1E8"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06F446C"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Oct 2022</w:t>
            </w:r>
          </w:p>
        </w:tc>
        <w:tc>
          <w:tcPr>
            <w:tcW w:w="1092" w:type="dxa"/>
            <w:tcBorders>
              <w:top w:val="nil"/>
              <w:left w:val="nil"/>
              <w:bottom w:val="single" w:sz="4" w:space="0" w:color="auto"/>
              <w:right w:val="single" w:sz="4" w:space="0" w:color="auto"/>
            </w:tcBorders>
            <w:shd w:val="clear" w:color="auto" w:fill="auto"/>
            <w:noWrap/>
            <w:vAlign w:val="bottom"/>
            <w:hideMark/>
          </w:tcPr>
          <w:p w14:paraId="47A098F5"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4.391174513</w:t>
            </w:r>
          </w:p>
        </w:tc>
      </w:tr>
      <w:tr w:rsidR="00A5352F" w:rsidRPr="00A5352F" w14:paraId="27C119A0"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E39B3F6"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Nov 2022</w:t>
            </w:r>
          </w:p>
        </w:tc>
        <w:tc>
          <w:tcPr>
            <w:tcW w:w="1092" w:type="dxa"/>
            <w:tcBorders>
              <w:top w:val="nil"/>
              <w:left w:val="nil"/>
              <w:bottom w:val="single" w:sz="4" w:space="0" w:color="auto"/>
              <w:right w:val="single" w:sz="4" w:space="0" w:color="auto"/>
            </w:tcBorders>
            <w:shd w:val="clear" w:color="auto" w:fill="auto"/>
            <w:noWrap/>
            <w:vAlign w:val="bottom"/>
            <w:hideMark/>
          </w:tcPr>
          <w:p w14:paraId="56B98F73"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4.439394464</w:t>
            </w:r>
          </w:p>
        </w:tc>
      </w:tr>
      <w:tr w:rsidR="00A5352F" w:rsidRPr="00A5352F" w14:paraId="5A92F4B6"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600E9B7"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Dec 2022</w:t>
            </w:r>
          </w:p>
        </w:tc>
        <w:tc>
          <w:tcPr>
            <w:tcW w:w="1092" w:type="dxa"/>
            <w:tcBorders>
              <w:top w:val="nil"/>
              <w:left w:val="nil"/>
              <w:bottom w:val="single" w:sz="4" w:space="0" w:color="auto"/>
              <w:right w:val="single" w:sz="4" w:space="0" w:color="auto"/>
            </w:tcBorders>
            <w:shd w:val="clear" w:color="auto" w:fill="auto"/>
            <w:noWrap/>
            <w:vAlign w:val="bottom"/>
            <w:hideMark/>
          </w:tcPr>
          <w:p w14:paraId="5C12DC1C"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4.482085116</w:t>
            </w:r>
          </w:p>
        </w:tc>
      </w:tr>
      <w:tr w:rsidR="00A5352F" w:rsidRPr="00A5352F" w14:paraId="6A29A2BC"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2C2E274"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Jan 2023</w:t>
            </w:r>
          </w:p>
        </w:tc>
        <w:tc>
          <w:tcPr>
            <w:tcW w:w="1092" w:type="dxa"/>
            <w:tcBorders>
              <w:top w:val="nil"/>
              <w:left w:val="nil"/>
              <w:bottom w:val="single" w:sz="4" w:space="0" w:color="auto"/>
              <w:right w:val="single" w:sz="4" w:space="0" w:color="auto"/>
            </w:tcBorders>
            <w:shd w:val="clear" w:color="auto" w:fill="auto"/>
            <w:noWrap/>
            <w:vAlign w:val="bottom"/>
            <w:hideMark/>
          </w:tcPr>
          <w:p w14:paraId="19764B0B"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4.519880504</w:t>
            </w:r>
          </w:p>
        </w:tc>
      </w:tr>
      <w:tr w:rsidR="00A5352F" w:rsidRPr="00A5352F" w14:paraId="03ADA9BF"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A54F9E9"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Feb 2023</w:t>
            </w:r>
          </w:p>
        </w:tc>
        <w:tc>
          <w:tcPr>
            <w:tcW w:w="1092" w:type="dxa"/>
            <w:tcBorders>
              <w:top w:val="nil"/>
              <w:left w:val="nil"/>
              <w:bottom w:val="single" w:sz="4" w:space="0" w:color="auto"/>
              <w:right w:val="single" w:sz="4" w:space="0" w:color="auto"/>
            </w:tcBorders>
            <w:shd w:val="clear" w:color="auto" w:fill="auto"/>
            <w:noWrap/>
            <w:vAlign w:val="bottom"/>
            <w:hideMark/>
          </w:tcPr>
          <w:p w14:paraId="090443E7"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4.55334196</w:t>
            </w:r>
          </w:p>
        </w:tc>
      </w:tr>
      <w:tr w:rsidR="00A5352F" w:rsidRPr="00A5352F" w14:paraId="56BD1139"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855BA09"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Mar 2023</w:t>
            </w:r>
          </w:p>
        </w:tc>
        <w:tc>
          <w:tcPr>
            <w:tcW w:w="1092" w:type="dxa"/>
            <w:tcBorders>
              <w:top w:val="nil"/>
              <w:left w:val="nil"/>
              <w:bottom w:val="single" w:sz="4" w:space="0" w:color="auto"/>
              <w:right w:val="single" w:sz="4" w:space="0" w:color="auto"/>
            </w:tcBorders>
            <w:shd w:val="clear" w:color="auto" w:fill="auto"/>
            <w:noWrap/>
            <w:vAlign w:val="bottom"/>
            <w:hideMark/>
          </w:tcPr>
          <w:p w14:paraId="4BCEC735"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4.582966448</w:t>
            </w:r>
          </w:p>
        </w:tc>
      </w:tr>
      <w:tr w:rsidR="00A5352F" w:rsidRPr="00A5352F" w14:paraId="40890CE4"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E4A90CC"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Apr 2023</w:t>
            </w:r>
          </w:p>
        </w:tc>
        <w:tc>
          <w:tcPr>
            <w:tcW w:w="1092" w:type="dxa"/>
            <w:tcBorders>
              <w:top w:val="nil"/>
              <w:left w:val="nil"/>
              <w:bottom w:val="single" w:sz="4" w:space="0" w:color="auto"/>
              <w:right w:val="single" w:sz="4" w:space="0" w:color="auto"/>
            </w:tcBorders>
            <w:shd w:val="clear" w:color="auto" w:fill="auto"/>
            <w:noWrap/>
            <w:vAlign w:val="bottom"/>
            <w:hideMark/>
          </w:tcPr>
          <w:p w14:paraId="7DA1BAD2"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4.609193946</w:t>
            </w:r>
          </w:p>
        </w:tc>
      </w:tr>
      <w:tr w:rsidR="00A5352F" w:rsidRPr="00A5352F" w14:paraId="0EB75072"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64C05161"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May 2023</w:t>
            </w:r>
          </w:p>
        </w:tc>
        <w:tc>
          <w:tcPr>
            <w:tcW w:w="1092" w:type="dxa"/>
            <w:tcBorders>
              <w:top w:val="nil"/>
              <w:left w:val="nil"/>
              <w:bottom w:val="single" w:sz="4" w:space="0" w:color="auto"/>
              <w:right w:val="single" w:sz="4" w:space="0" w:color="auto"/>
            </w:tcBorders>
            <w:shd w:val="clear" w:color="auto" w:fill="auto"/>
            <w:noWrap/>
            <w:vAlign w:val="bottom"/>
            <w:hideMark/>
          </w:tcPr>
          <w:p w14:paraId="40FEEC2D"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4.632413982</w:t>
            </w:r>
          </w:p>
        </w:tc>
      </w:tr>
      <w:tr w:rsidR="00A5352F" w:rsidRPr="00A5352F" w14:paraId="582FB666"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995CD94"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Jun 2023</w:t>
            </w:r>
          </w:p>
        </w:tc>
        <w:tc>
          <w:tcPr>
            <w:tcW w:w="1092" w:type="dxa"/>
            <w:tcBorders>
              <w:top w:val="nil"/>
              <w:left w:val="nil"/>
              <w:bottom w:val="single" w:sz="4" w:space="0" w:color="auto"/>
              <w:right w:val="single" w:sz="4" w:space="0" w:color="auto"/>
            </w:tcBorders>
            <w:shd w:val="clear" w:color="auto" w:fill="auto"/>
            <w:noWrap/>
            <w:vAlign w:val="bottom"/>
            <w:hideMark/>
          </w:tcPr>
          <w:p w14:paraId="72FC6806"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4.652971417</w:t>
            </w:r>
          </w:p>
        </w:tc>
      </w:tr>
      <w:tr w:rsidR="00A5352F" w:rsidRPr="00A5352F" w14:paraId="5F908CFD"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9754996"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Jul 2023</w:t>
            </w:r>
          </w:p>
        </w:tc>
        <w:tc>
          <w:tcPr>
            <w:tcW w:w="1092" w:type="dxa"/>
            <w:tcBorders>
              <w:top w:val="nil"/>
              <w:left w:val="nil"/>
              <w:bottom w:val="single" w:sz="4" w:space="0" w:color="auto"/>
              <w:right w:val="single" w:sz="4" w:space="0" w:color="auto"/>
            </w:tcBorders>
            <w:shd w:val="clear" w:color="auto" w:fill="auto"/>
            <w:noWrap/>
            <w:vAlign w:val="bottom"/>
            <w:hideMark/>
          </w:tcPr>
          <w:p w14:paraId="6394D3DC"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4.671171565</w:t>
            </w:r>
          </w:p>
        </w:tc>
      </w:tr>
      <w:tr w:rsidR="00A5352F" w:rsidRPr="00A5352F" w14:paraId="398D8628"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477DBF98"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Aug 2023</w:t>
            </w:r>
          </w:p>
        </w:tc>
        <w:tc>
          <w:tcPr>
            <w:tcW w:w="1092" w:type="dxa"/>
            <w:tcBorders>
              <w:top w:val="nil"/>
              <w:left w:val="nil"/>
              <w:bottom w:val="single" w:sz="4" w:space="0" w:color="auto"/>
              <w:right w:val="single" w:sz="4" w:space="0" w:color="auto"/>
            </w:tcBorders>
            <w:shd w:val="clear" w:color="auto" w:fill="auto"/>
            <w:noWrap/>
            <w:vAlign w:val="bottom"/>
            <w:hideMark/>
          </w:tcPr>
          <w:p w14:paraId="3E2C0375"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4.687284734</w:t>
            </w:r>
          </w:p>
        </w:tc>
      </w:tr>
      <w:tr w:rsidR="00A5352F" w:rsidRPr="00A5352F" w14:paraId="543EECFE" w14:textId="77777777" w:rsidTr="00A5352F">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5608088" w14:textId="77777777" w:rsidR="00A5352F" w:rsidRPr="00A5352F" w:rsidRDefault="00A5352F" w:rsidP="00A5352F">
            <w:pPr>
              <w:spacing w:after="0" w:line="240" w:lineRule="auto"/>
              <w:rPr>
                <w:rFonts w:ascii="Calibri" w:eastAsia="Times New Roman" w:hAnsi="Calibri" w:cs="Calibri"/>
                <w:color w:val="000000"/>
              </w:rPr>
            </w:pPr>
            <w:r w:rsidRPr="00A5352F">
              <w:rPr>
                <w:rFonts w:ascii="Calibri" w:eastAsia="Times New Roman" w:hAnsi="Calibri" w:cs="Calibri"/>
                <w:color w:val="000000"/>
              </w:rPr>
              <w:t>Sep 2023</w:t>
            </w:r>
          </w:p>
        </w:tc>
        <w:tc>
          <w:tcPr>
            <w:tcW w:w="1092" w:type="dxa"/>
            <w:tcBorders>
              <w:top w:val="nil"/>
              <w:left w:val="nil"/>
              <w:bottom w:val="single" w:sz="4" w:space="0" w:color="auto"/>
              <w:right w:val="single" w:sz="4" w:space="0" w:color="auto"/>
            </w:tcBorders>
            <w:shd w:val="clear" w:color="auto" w:fill="auto"/>
            <w:noWrap/>
            <w:vAlign w:val="bottom"/>
            <w:hideMark/>
          </w:tcPr>
          <w:p w14:paraId="622F8645" w14:textId="77777777" w:rsidR="00A5352F" w:rsidRPr="00A5352F" w:rsidRDefault="00A5352F" w:rsidP="00A5352F">
            <w:pPr>
              <w:spacing w:after="0" w:line="240" w:lineRule="auto"/>
              <w:jc w:val="right"/>
              <w:rPr>
                <w:rFonts w:ascii="Calibri" w:eastAsia="Times New Roman" w:hAnsi="Calibri" w:cs="Calibri"/>
                <w:color w:val="000000"/>
              </w:rPr>
            </w:pPr>
            <w:r w:rsidRPr="00A5352F">
              <w:rPr>
                <w:rFonts w:ascii="Calibri" w:eastAsia="Times New Roman" w:hAnsi="Calibri" w:cs="Calibri"/>
                <w:color w:val="000000"/>
              </w:rPr>
              <w:t>4.701550234</w:t>
            </w:r>
          </w:p>
        </w:tc>
      </w:tr>
    </w:tbl>
    <w:p w14:paraId="55DE5BF0" w14:textId="77777777" w:rsidR="00BC5475" w:rsidRDefault="00BC5475" w:rsidP="00BC5475"/>
    <w:p w14:paraId="2424D014" w14:textId="589CDADC" w:rsidR="006658E4" w:rsidRDefault="006658E4" w:rsidP="006658E4">
      <w:r>
        <w:lastRenderedPageBreak/>
        <w:t xml:space="preserve">The forecast shows that </w:t>
      </w:r>
      <w:r w:rsidR="00B77A4F">
        <w:t>unemployment</w:t>
      </w:r>
      <w:r>
        <w:t xml:space="preserve"> rate might </w:t>
      </w:r>
      <w:r w:rsidR="00B77A4F">
        <w:t xml:space="preserve">maintain </w:t>
      </w:r>
      <w:r w:rsidR="00824860">
        <w:t>relatively stable in the next years</w:t>
      </w:r>
      <w:r w:rsidR="005F1360">
        <w:t>, between 4 % and 5%</w:t>
      </w:r>
      <w:r w:rsidR="00287391">
        <w:t>, reaching</w:t>
      </w:r>
      <w:r w:rsidR="00236BA4">
        <w:t xml:space="preserve"> 4,70% in September 2023.</w:t>
      </w:r>
    </w:p>
    <w:p w14:paraId="5881A1BF" w14:textId="77777777" w:rsidR="00D926B1" w:rsidRDefault="00D926B1" w:rsidP="006658E4"/>
    <w:p w14:paraId="70D24B79" w14:textId="132DD29D" w:rsidR="00D926B1" w:rsidRDefault="00D926B1" w:rsidP="00D926B1">
      <w:pPr>
        <w:pStyle w:val="ListParagraph"/>
        <w:numPr>
          <w:ilvl w:val="0"/>
          <w:numId w:val="7"/>
        </w:numPr>
      </w:pPr>
      <w:r>
        <w:t>Eurozone countries</w:t>
      </w:r>
      <w:r>
        <w:rPr>
          <w:noProof/>
        </w:rPr>
        <w:drawing>
          <wp:inline distT="0" distB="0" distL="0" distR="0" wp14:anchorId="5FF59D89" wp14:editId="2F08CDF6">
            <wp:extent cx="5943600" cy="3867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tbl>
      <w:tblPr>
        <w:tblW w:w="2347" w:type="dxa"/>
        <w:tblLook w:val="04A0" w:firstRow="1" w:lastRow="0" w:firstColumn="1" w:lastColumn="0" w:noHBand="0" w:noVBand="1"/>
      </w:tblPr>
      <w:tblGrid>
        <w:gridCol w:w="1525"/>
        <w:gridCol w:w="1387"/>
      </w:tblGrid>
      <w:tr w:rsidR="00B71896" w:rsidRPr="00B71896" w14:paraId="5D258251" w14:textId="77777777" w:rsidTr="00B71896">
        <w:trPr>
          <w:trHeight w:val="288"/>
        </w:trPr>
        <w:tc>
          <w:tcPr>
            <w:tcW w:w="152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658196A"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 </w:t>
            </w:r>
          </w:p>
        </w:tc>
        <w:tc>
          <w:tcPr>
            <w:tcW w:w="822" w:type="dxa"/>
            <w:tcBorders>
              <w:top w:val="single" w:sz="4" w:space="0" w:color="auto"/>
              <w:left w:val="nil"/>
              <w:bottom w:val="single" w:sz="4" w:space="0" w:color="auto"/>
              <w:right w:val="single" w:sz="4" w:space="0" w:color="auto"/>
            </w:tcBorders>
            <w:shd w:val="clear" w:color="000000" w:fill="B4C6E7"/>
            <w:noWrap/>
            <w:vAlign w:val="bottom"/>
            <w:hideMark/>
          </w:tcPr>
          <w:p w14:paraId="7CD39C70"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Point Forecast</w:t>
            </w:r>
          </w:p>
        </w:tc>
      </w:tr>
      <w:tr w:rsidR="00B71896" w:rsidRPr="00B71896" w14:paraId="3828A2F4"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305335F"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Sep 2022</w:t>
            </w:r>
          </w:p>
        </w:tc>
        <w:tc>
          <w:tcPr>
            <w:tcW w:w="822" w:type="dxa"/>
            <w:tcBorders>
              <w:top w:val="nil"/>
              <w:left w:val="nil"/>
              <w:bottom w:val="single" w:sz="4" w:space="0" w:color="auto"/>
              <w:right w:val="single" w:sz="4" w:space="0" w:color="auto"/>
            </w:tcBorders>
            <w:shd w:val="clear" w:color="auto" w:fill="auto"/>
            <w:noWrap/>
            <w:vAlign w:val="bottom"/>
            <w:hideMark/>
          </w:tcPr>
          <w:p w14:paraId="79908419"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5BA97441"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A003C64"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Oct 2022</w:t>
            </w:r>
          </w:p>
        </w:tc>
        <w:tc>
          <w:tcPr>
            <w:tcW w:w="822" w:type="dxa"/>
            <w:tcBorders>
              <w:top w:val="nil"/>
              <w:left w:val="nil"/>
              <w:bottom w:val="single" w:sz="4" w:space="0" w:color="auto"/>
              <w:right w:val="single" w:sz="4" w:space="0" w:color="auto"/>
            </w:tcBorders>
            <w:shd w:val="clear" w:color="auto" w:fill="auto"/>
            <w:noWrap/>
            <w:vAlign w:val="bottom"/>
            <w:hideMark/>
          </w:tcPr>
          <w:p w14:paraId="46198253"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0D5B74FC"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EDDD41B"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Nov 2022</w:t>
            </w:r>
          </w:p>
        </w:tc>
        <w:tc>
          <w:tcPr>
            <w:tcW w:w="822" w:type="dxa"/>
            <w:tcBorders>
              <w:top w:val="nil"/>
              <w:left w:val="nil"/>
              <w:bottom w:val="single" w:sz="4" w:space="0" w:color="auto"/>
              <w:right w:val="single" w:sz="4" w:space="0" w:color="auto"/>
            </w:tcBorders>
            <w:shd w:val="clear" w:color="auto" w:fill="auto"/>
            <w:noWrap/>
            <w:vAlign w:val="bottom"/>
            <w:hideMark/>
          </w:tcPr>
          <w:p w14:paraId="6F1ED843"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3B1C7F65"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8A397BB"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Dec 2022</w:t>
            </w:r>
          </w:p>
        </w:tc>
        <w:tc>
          <w:tcPr>
            <w:tcW w:w="822" w:type="dxa"/>
            <w:tcBorders>
              <w:top w:val="nil"/>
              <w:left w:val="nil"/>
              <w:bottom w:val="single" w:sz="4" w:space="0" w:color="auto"/>
              <w:right w:val="single" w:sz="4" w:space="0" w:color="auto"/>
            </w:tcBorders>
            <w:shd w:val="clear" w:color="auto" w:fill="auto"/>
            <w:noWrap/>
            <w:vAlign w:val="bottom"/>
            <w:hideMark/>
          </w:tcPr>
          <w:p w14:paraId="07008C8C"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752B61AC"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F5029CC"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Jan 2023</w:t>
            </w:r>
          </w:p>
        </w:tc>
        <w:tc>
          <w:tcPr>
            <w:tcW w:w="822" w:type="dxa"/>
            <w:tcBorders>
              <w:top w:val="nil"/>
              <w:left w:val="nil"/>
              <w:bottom w:val="single" w:sz="4" w:space="0" w:color="auto"/>
              <w:right w:val="single" w:sz="4" w:space="0" w:color="auto"/>
            </w:tcBorders>
            <w:shd w:val="clear" w:color="auto" w:fill="auto"/>
            <w:noWrap/>
            <w:vAlign w:val="bottom"/>
            <w:hideMark/>
          </w:tcPr>
          <w:p w14:paraId="5160445C"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56DDB3F6"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C4F050A"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Feb 2023</w:t>
            </w:r>
          </w:p>
        </w:tc>
        <w:tc>
          <w:tcPr>
            <w:tcW w:w="822" w:type="dxa"/>
            <w:tcBorders>
              <w:top w:val="nil"/>
              <w:left w:val="nil"/>
              <w:bottom w:val="single" w:sz="4" w:space="0" w:color="auto"/>
              <w:right w:val="single" w:sz="4" w:space="0" w:color="auto"/>
            </w:tcBorders>
            <w:shd w:val="clear" w:color="auto" w:fill="auto"/>
            <w:noWrap/>
            <w:vAlign w:val="bottom"/>
            <w:hideMark/>
          </w:tcPr>
          <w:p w14:paraId="1E81065C"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68A92AA0"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24DDB95"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Mar 2023</w:t>
            </w:r>
          </w:p>
        </w:tc>
        <w:tc>
          <w:tcPr>
            <w:tcW w:w="822" w:type="dxa"/>
            <w:tcBorders>
              <w:top w:val="nil"/>
              <w:left w:val="nil"/>
              <w:bottom w:val="single" w:sz="4" w:space="0" w:color="auto"/>
              <w:right w:val="single" w:sz="4" w:space="0" w:color="auto"/>
            </w:tcBorders>
            <w:shd w:val="clear" w:color="auto" w:fill="auto"/>
            <w:noWrap/>
            <w:vAlign w:val="bottom"/>
            <w:hideMark/>
          </w:tcPr>
          <w:p w14:paraId="4FED963B"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00A06B66"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CD52A1F"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Apr 2023</w:t>
            </w:r>
          </w:p>
        </w:tc>
        <w:tc>
          <w:tcPr>
            <w:tcW w:w="822" w:type="dxa"/>
            <w:tcBorders>
              <w:top w:val="nil"/>
              <w:left w:val="nil"/>
              <w:bottom w:val="single" w:sz="4" w:space="0" w:color="auto"/>
              <w:right w:val="single" w:sz="4" w:space="0" w:color="auto"/>
            </w:tcBorders>
            <w:shd w:val="clear" w:color="auto" w:fill="auto"/>
            <w:noWrap/>
            <w:vAlign w:val="bottom"/>
            <w:hideMark/>
          </w:tcPr>
          <w:p w14:paraId="58BDB39D"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63190801"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544E7F8"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May 2023</w:t>
            </w:r>
          </w:p>
        </w:tc>
        <w:tc>
          <w:tcPr>
            <w:tcW w:w="822" w:type="dxa"/>
            <w:tcBorders>
              <w:top w:val="nil"/>
              <w:left w:val="nil"/>
              <w:bottom w:val="single" w:sz="4" w:space="0" w:color="auto"/>
              <w:right w:val="single" w:sz="4" w:space="0" w:color="auto"/>
            </w:tcBorders>
            <w:shd w:val="clear" w:color="auto" w:fill="auto"/>
            <w:noWrap/>
            <w:vAlign w:val="bottom"/>
            <w:hideMark/>
          </w:tcPr>
          <w:p w14:paraId="5F83EC9C"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1177C074"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255031A"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Jun 2023</w:t>
            </w:r>
          </w:p>
        </w:tc>
        <w:tc>
          <w:tcPr>
            <w:tcW w:w="822" w:type="dxa"/>
            <w:tcBorders>
              <w:top w:val="nil"/>
              <w:left w:val="nil"/>
              <w:bottom w:val="single" w:sz="4" w:space="0" w:color="auto"/>
              <w:right w:val="single" w:sz="4" w:space="0" w:color="auto"/>
            </w:tcBorders>
            <w:shd w:val="clear" w:color="auto" w:fill="auto"/>
            <w:noWrap/>
            <w:vAlign w:val="bottom"/>
            <w:hideMark/>
          </w:tcPr>
          <w:p w14:paraId="2264D623"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7F3CF08E"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A1EDD69"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Jul 2023</w:t>
            </w:r>
          </w:p>
        </w:tc>
        <w:tc>
          <w:tcPr>
            <w:tcW w:w="822" w:type="dxa"/>
            <w:tcBorders>
              <w:top w:val="nil"/>
              <w:left w:val="nil"/>
              <w:bottom w:val="single" w:sz="4" w:space="0" w:color="auto"/>
              <w:right w:val="single" w:sz="4" w:space="0" w:color="auto"/>
            </w:tcBorders>
            <w:shd w:val="clear" w:color="auto" w:fill="auto"/>
            <w:noWrap/>
            <w:vAlign w:val="bottom"/>
            <w:hideMark/>
          </w:tcPr>
          <w:p w14:paraId="4D20D29F"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09B6EE8D"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FE56CC6"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Aug 2023</w:t>
            </w:r>
          </w:p>
        </w:tc>
        <w:tc>
          <w:tcPr>
            <w:tcW w:w="822" w:type="dxa"/>
            <w:tcBorders>
              <w:top w:val="nil"/>
              <w:left w:val="nil"/>
              <w:bottom w:val="single" w:sz="4" w:space="0" w:color="auto"/>
              <w:right w:val="single" w:sz="4" w:space="0" w:color="auto"/>
            </w:tcBorders>
            <w:shd w:val="clear" w:color="auto" w:fill="auto"/>
            <w:noWrap/>
            <w:vAlign w:val="bottom"/>
            <w:hideMark/>
          </w:tcPr>
          <w:p w14:paraId="7F8AC510"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r w:rsidR="00B71896" w:rsidRPr="00B71896" w14:paraId="27E49B8C" w14:textId="77777777" w:rsidTr="00B71896">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9EA54E3" w14:textId="77777777" w:rsidR="00B71896" w:rsidRPr="00B71896" w:rsidRDefault="00B71896" w:rsidP="00B71896">
            <w:pPr>
              <w:spacing w:after="0" w:line="240" w:lineRule="auto"/>
              <w:rPr>
                <w:rFonts w:ascii="Calibri" w:eastAsia="Times New Roman" w:hAnsi="Calibri" w:cs="Calibri"/>
                <w:color w:val="000000"/>
              </w:rPr>
            </w:pPr>
            <w:r w:rsidRPr="00B71896">
              <w:rPr>
                <w:rFonts w:ascii="Calibri" w:eastAsia="Times New Roman" w:hAnsi="Calibri" w:cs="Calibri"/>
                <w:color w:val="000000"/>
              </w:rPr>
              <w:t>Sep 2023</w:t>
            </w:r>
          </w:p>
        </w:tc>
        <w:tc>
          <w:tcPr>
            <w:tcW w:w="822" w:type="dxa"/>
            <w:tcBorders>
              <w:top w:val="nil"/>
              <w:left w:val="nil"/>
              <w:bottom w:val="single" w:sz="4" w:space="0" w:color="auto"/>
              <w:right w:val="single" w:sz="4" w:space="0" w:color="auto"/>
            </w:tcBorders>
            <w:shd w:val="clear" w:color="auto" w:fill="auto"/>
            <w:noWrap/>
            <w:vAlign w:val="bottom"/>
            <w:hideMark/>
          </w:tcPr>
          <w:p w14:paraId="3DC7751C" w14:textId="77777777" w:rsidR="00B71896" w:rsidRPr="00B71896" w:rsidRDefault="00B71896" w:rsidP="00B71896">
            <w:pPr>
              <w:spacing w:after="0" w:line="240" w:lineRule="auto"/>
              <w:jc w:val="right"/>
              <w:rPr>
                <w:rFonts w:ascii="Calibri" w:eastAsia="Times New Roman" w:hAnsi="Calibri" w:cs="Calibri"/>
                <w:color w:val="000000"/>
              </w:rPr>
            </w:pPr>
            <w:r w:rsidRPr="00B71896">
              <w:rPr>
                <w:rFonts w:ascii="Calibri" w:eastAsia="Times New Roman" w:hAnsi="Calibri" w:cs="Calibri"/>
                <w:color w:val="000000"/>
              </w:rPr>
              <w:t>6.411847546</w:t>
            </w:r>
          </w:p>
        </w:tc>
      </w:tr>
    </w:tbl>
    <w:p w14:paraId="11E87E49" w14:textId="77777777" w:rsidR="00B71896" w:rsidRDefault="00B71896" w:rsidP="00B71896">
      <w:pPr>
        <w:pStyle w:val="ListParagraph"/>
      </w:pPr>
    </w:p>
    <w:p w14:paraId="4703AA7B" w14:textId="77777777" w:rsidR="0028693E" w:rsidRDefault="0028693E"/>
    <w:p w14:paraId="3681E640" w14:textId="77312972" w:rsidR="00DF41E7" w:rsidRDefault="00DF41E7" w:rsidP="00DF41E7">
      <w:r>
        <w:lastRenderedPageBreak/>
        <w:t xml:space="preserve">The forecast shows that unemployment rate in </w:t>
      </w:r>
      <w:r w:rsidR="00FD3C94">
        <w:t xml:space="preserve">eurozone countries might </w:t>
      </w:r>
      <w:r>
        <w:t xml:space="preserve">maintain relatively stable in the next years, between </w:t>
      </w:r>
      <w:r w:rsidR="00FD3C94">
        <w:t>6</w:t>
      </w:r>
      <w:r>
        <w:t xml:space="preserve"> % and </w:t>
      </w:r>
      <w:r w:rsidR="00FD3C94">
        <w:t>7</w:t>
      </w:r>
      <w:r>
        <w:t xml:space="preserve">%, reaching </w:t>
      </w:r>
      <w:r w:rsidR="00B5671E">
        <w:t>6,4</w:t>
      </w:r>
      <w:r>
        <w:t>% in September 2023.</w:t>
      </w:r>
    </w:p>
    <w:p w14:paraId="2155D96F" w14:textId="77777777" w:rsidR="003D2C61" w:rsidRDefault="003D2C61" w:rsidP="00DF41E7"/>
    <w:p w14:paraId="4646F28A" w14:textId="76ADD345" w:rsidR="003D2C61" w:rsidRPr="007232A8" w:rsidRDefault="00426F32" w:rsidP="003D2C61">
      <w:pPr>
        <w:pStyle w:val="ListParagraph"/>
        <w:numPr>
          <w:ilvl w:val="0"/>
          <w:numId w:val="7"/>
        </w:numPr>
      </w:pPr>
      <w:r>
        <w:rPr>
          <w:b/>
          <w:bCs/>
        </w:rPr>
        <w:t>United States</w:t>
      </w:r>
    </w:p>
    <w:p w14:paraId="456026E2" w14:textId="1B79097E" w:rsidR="007232A8" w:rsidRDefault="00AA3125" w:rsidP="007232A8">
      <w:r>
        <w:rPr>
          <w:noProof/>
        </w:rPr>
        <w:drawing>
          <wp:inline distT="0" distB="0" distL="0" distR="0" wp14:anchorId="0D6DECA6" wp14:editId="384368AB">
            <wp:extent cx="5943600" cy="3867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647A6713" w14:textId="77777777" w:rsidR="00426F32" w:rsidRDefault="00426F32" w:rsidP="00426F32"/>
    <w:tbl>
      <w:tblPr>
        <w:tblW w:w="2552" w:type="dxa"/>
        <w:tblLook w:val="04A0" w:firstRow="1" w:lastRow="0" w:firstColumn="1" w:lastColumn="0" w:noHBand="0" w:noVBand="1"/>
      </w:tblPr>
      <w:tblGrid>
        <w:gridCol w:w="1165"/>
        <w:gridCol w:w="1387"/>
      </w:tblGrid>
      <w:tr w:rsidR="003F7043" w:rsidRPr="003F7043" w14:paraId="3A5CBA7B" w14:textId="77777777" w:rsidTr="00FD1C64">
        <w:trPr>
          <w:trHeight w:val="288"/>
        </w:trPr>
        <w:tc>
          <w:tcPr>
            <w:tcW w:w="1165"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0BE335A"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 </w:t>
            </w:r>
          </w:p>
        </w:tc>
        <w:tc>
          <w:tcPr>
            <w:tcW w:w="1387" w:type="dxa"/>
            <w:tcBorders>
              <w:top w:val="single" w:sz="4" w:space="0" w:color="auto"/>
              <w:left w:val="nil"/>
              <w:bottom w:val="single" w:sz="4" w:space="0" w:color="auto"/>
              <w:right w:val="single" w:sz="4" w:space="0" w:color="auto"/>
            </w:tcBorders>
            <w:shd w:val="clear" w:color="000000" w:fill="8EA9DB"/>
            <w:noWrap/>
            <w:vAlign w:val="bottom"/>
            <w:hideMark/>
          </w:tcPr>
          <w:p w14:paraId="2BC4DCF0"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Point Forecast</w:t>
            </w:r>
          </w:p>
        </w:tc>
      </w:tr>
      <w:tr w:rsidR="003F7043" w:rsidRPr="003F7043" w14:paraId="1E4CBDD8"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26ACB9D"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Sep 2022</w:t>
            </w:r>
          </w:p>
        </w:tc>
        <w:tc>
          <w:tcPr>
            <w:tcW w:w="1387" w:type="dxa"/>
            <w:tcBorders>
              <w:top w:val="nil"/>
              <w:left w:val="nil"/>
              <w:bottom w:val="single" w:sz="4" w:space="0" w:color="auto"/>
              <w:right w:val="single" w:sz="4" w:space="0" w:color="auto"/>
            </w:tcBorders>
            <w:shd w:val="clear" w:color="auto" w:fill="auto"/>
            <w:noWrap/>
            <w:vAlign w:val="bottom"/>
            <w:hideMark/>
          </w:tcPr>
          <w:p w14:paraId="26121217"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4.087807969</w:t>
            </w:r>
          </w:p>
        </w:tc>
      </w:tr>
      <w:tr w:rsidR="003F7043" w:rsidRPr="003F7043" w14:paraId="2858A8AE"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11BD7DF"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Oct 2022</w:t>
            </w:r>
          </w:p>
        </w:tc>
        <w:tc>
          <w:tcPr>
            <w:tcW w:w="1387" w:type="dxa"/>
            <w:tcBorders>
              <w:top w:val="nil"/>
              <w:left w:val="nil"/>
              <w:bottom w:val="single" w:sz="4" w:space="0" w:color="auto"/>
              <w:right w:val="single" w:sz="4" w:space="0" w:color="auto"/>
            </w:tcBorders>
            <w:shd w:val="clear" w:color="auto" w:fill="auto"/>
            <w:noWrap/>
            <w:vAlign w:val="bottom"/>
            <w:hideMark/>
          </w:tcPr>
          <w:p w14:paraId="243535AB"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4.315432313</w:t>
            </w:r>
          </w:p>
        </w:tc>
      </w:tr>
      <w:tr w:rsidR="003F7043" w:rsidRPr="003F7043" w14:paraId="0D371F43"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C4BEC18"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Nov 2022</w:t>
            </w:r>
          </w:p>
        </w:tc>
        <w:tc>
          <w:tcPr>
            <w:tcW w:w="1387" w:type="dxa"/>
            <w:tcBorders>
              <w:top w:val="nil"/>
              <w:left w:val="nil"/>
              <w:bottom w:val="single" w:sz="4" w:space="0" w:color="auto"/>
              <w:right w:val="single" w:sz="4" w:space="0" w:color="auto"/>
            </w:tcBorders>
            <w:shd w:val="clear" w:color="auto" w:fill="auto"/>
            <w:noWrap/>
            <w:vAlign w:val="bottom"/>
            <w:hideMark/>
          </w:tcPr>
          <w:p w14:paraId="37AD44DA"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4.49545805</w:t>
            </w:r>
          </w:p>
        </w:tc>
      </w:tr>
      <w:tr w:rsidR="003F7043" w:rsidRPr="003F7043" w14:paraId="3CAF9B06"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6B70C6F"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Dec 2022</w:t>
            </w:r>
          </w:p>
        </w:tc>
        <w:tc>
          <w:tcPr>
            <w:tcW w:w="1387" w:type="dxa"/>
            <w:tcBorders>
              <w:top w:val="nil"/>
              <w:left w:val="nil"/>
              <w:bottom w:val="single" w:sz="4" w:space="0" w:color="auto"/>
              <w:right w:val="single" w:sz="4" w:space="0" w:color="auto"/>
            </w:tcBorders>
            <w:shd w:val="clear" w:color="auto" w:fill="auto"/>
            <w:noWrap/>
            <w:vAlign w:val="bottom"/>
            <w:hideMark/>
          </w:tcPr>
          <w:p w14:paraId="0764AF8E"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4.637838543</w:t>
            </w:r>
          </w:p>
        </w:tc>
      </w:tr>
      <w:tr w:rsidR="003F7043" w:rsidRPr="003F7043" w14:paraId="3E59B4FE"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7DB171D"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Jan 2023</w:t>
            </w:r>
          </w:p>
        </w:tc>
        <w:tc>
          <w:tcPr>
            <w:tcW w:w="1387" w:type="dxa"/>
            <w:tcBorders>
              <w:top w:val="nil"/>
              <w:left w:val="nil"/>
              <w:bottom w:val="single" w:sz="4" w:space="0" w:color="auto"/>
              <w:right w:val="single" w:sz="4" w:space="0" w:color="auto"/>
            </w:tcBorders>
            <w:shd w:val="clear" w:color="auto" w:fill="auto"/>
            <w:noWrap/>
            <w:vAlign w:val="bottom"/>
            <w:hideMark/>
          </w:tcPr>
          <w:p w14:paraId="6B127685"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4.7504458</w:t>
            </w:r>
          </w:p>
        </w:tc>
      </w:tr>
      <w:tr w:rsidR="003F7043" w:rsidRPr="003F7043" w14:paraId="66012C6B"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28144AD"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Feb 2023</w:t>
            </w:r>
          </w:p>
        </w:tc>
        <w:tc>
          <w:tcPr>
            <w:tcW w:w="1387" w:type="dxa"/>
            <w:tcBorders>
              <w:top w:val="nil"/>
              <w:left w:val="nil"/>
              <w:bottom w:val="single" w:sz="4" w:space="0" w:color="auto"/>
              <w:right w:val="single" w:sz="4" w:space="0" w:color="auto"/>
            </w:tcBorders>
            <w:shd w:val="clear" w:color="auto" w:fill="auto"/>
            <w:noWrap/>
            <w:vAlign w:val="bottom"/>
            <w:hideMark/>
          </w:tcPr>
          <w:p w14:paraId="04345082"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4.839505714</w:t>
            </w:r>
          </w:p>
        </w:tc>
      </w:tr>
      <w:tr w:rsidR="003F7043" w:rsidRPr="003F7043" w14:paraId="46CFA3A4"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611F09E"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Mar 2023</w:t>
            </w:r>
          </w:p>
        </w:tc>
        <w:tc>
          <w:tcPr>
            <w:tcW w:w="1387" w:type="dxa"/>
            <w:tcBorders>
              <w:top w:val="nil"/>
              <w:left w:val="nil"/>
              <w:bottom w:val="single" w:sz="4" w:space="0" w:color="auto"/>
              <w:right w:val="single" w:sz="4" w:space="0" w:color="auto"/>
            </w:tcBorders>
            <w:shd w:val="clear" w:color="auto" w:fill="auto"/>
            <w:noWrap/>
            <w:vAlign w:val="bottom"/>
            <w:hideMark/>
          </w:tcPr>
          <w:p w14:paraId="0948BEE2"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4.909942278</w:t>
            </w:r>
          </w:p>
        </w:tc>
      </w:tr>
      <w:tr w:rsidR="003F7043" w:rsidRPr="003F7043" w14:paraId="58A14223"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6C5A59E"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Apr 2023</w:t>
            </w:r>
          </w:p>
        </w:tc>
        <w:tc>
          <w:tcPr>
            <w:tcW w:w="1387" w:type="dxa"/>
            <w:tcBorders>
              <w:top w:val="nil"/>
              <w:left w:val="nil"/>
              <w:bottom w:val="single" w:sz="4" w:space="0" w:color="auto"/>
              <w:right w:val="single" w:sz="4" w:space="0" w:color="auto"/>
            </w:tcBorders>
            <w:shd w:val="clear" w:color="auto" w:fill="auto"/>
            <w:noWrap/>
            <w:vAlign w:val="bottom"/>
            <w:hideMark/>
          </w:tcPr>
          <w:p w14:paraId="076F6C7A"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4.965649828</w:t>
            </w:r>
          </w:p>
        </w:tc>
      </w:tr>
      <w:tr w:rsidR="003F7043" w:rsidRPr="003F7043" w14:paraId="5931EE91"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D730CEF"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May 2023</w:t>
            </w:r>
          </w:p>
        </w:tc>
        <w:tc>
          <w:tcPr>
            <w:tcW w:w="1387" w:type="dxa"/>
            <w:tcBorders>
              <w:top w:val="nil"/>
              <w:left w:val="nil"/>
              <w:bottom w:val="single" w:sz="4" w:space="0" w:color="auto"/>
              <w:right w:val="single" w:sz="4" w:space="0" w:color="auto"/>
            </w:tcBorders>
            <w:shd w:val="clear" w:color="auto" w:fill="auto"/>
            <w:noWrap/>
            <w:vAlign w:val="bottom"/>
            <w:hideMark/>
          </w:tcPr>
          <w:p w14:paraId="01C40CF6"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5.009708352</w:t>
            </w:r>
          </w:p>
        </w:tc>
      </w:tr>
      <w:tr w:rsidR="003F7043" w:rsidRPr="003F7043" w14:paraId="3A8548DB"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B9A092B"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Jun 2023</w:t>
            </w:r>
          </w:p>
        </w:tc>
        <w:tc>
          <w:tcPr>
            <w:tcW w:w="1387" w:type="dxa"/>
            <w:tcBorders>
              <w:top w:val="nil"/>
              <w:left w:val="nil"/>
              <w:bottom w:val="single" w:sz="4" w:space="0" w:color="auto"/>
              <w:right w:val="single" w:sz="4" w:space="0" w:color="auto"/>
            </w:tcBorders>
            <w:shd w:val="clear" w:color="auto" w:fill="auto"/>
            <w:noWrap/>
            <w:vAlign w:val="bottom"/>
            <w:hideMark/>
          </w:tcPr>
          <w:p w14:paraId="0F5E94F6"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5.044553783</w:t>
            </w:r>
          </w:p>
        </w:tc>
      </w:tr>
      <w:tr w:rsidR="003F7043" w:rsidRPr="003F7043" w14:paraId="23668361"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648C8D6"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Jul 2023</w:t>
            </w:r>
          </w:p>
        </w:tc>
        <w:tc>
          <w:tcPr>
            <w:tcW w:w="1387" w:type="dxa"/>
            <w:tcBorders>
              <w:top w:val="nil"/>
              <w:left w:val="nil"/>
              <w:bottom w:val="single" w:sz="4" w:space="0" w:color="auto"/>
              <w:right w:val="single" w:sz="4" w:space="0" w:color="auto"/>
            </w:tcBorders>
            <w:shd w:val="clear" w:color="auto" w:fill="auto"/>
            <w:noWrap/>
            <w:vAlign w:val="bottom"/>
            <w:hideMark/>
          </w:tcPr>
          <w:p w14:paraId="514D73F6"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5.072112674</w:t>
            </w:r>
          </w:p>
        </w:tc>
      </w:tr>
      <w:tr w:rsidR="003F7043" w:rsidRPr="003F7043" w14:paraId="7F07B89F"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ECAE001"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Aug 2023</w:t>
            </w:r>
          </w:p>
        </w:tc>
        <w:tc>
          <w:tcPr>
            <w:tcW w:w="1387" w:type="dxa"/>
            <w:tcBorders>
              <w:top w:val="nil"/>
              <w:left w:val="nil"/>
              <w:bottom w:val="single" w:sz="4" w:space="0" w:color="auto"/>
              <w:right w:val="single" w:sz="4" w:space="0" w:color="auto"/>
            </w:tcBorders>
            <w:shd w:val="clear" w:color="auto" w:fill="auto"/>
            <w:noWrap/>
            <w:vAlign w:val="bottom"/>
            <w:hideMark/>
          </w:tcPr>
          <w:p w14:paraId="38004FF2"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5.093908715</w:t>
            </w:r>
          </w:p>
        </w:tc>
      </w:tr>
      <w:tr w:rsidR="003F7043" w:rsidRPr="003F7043" w14:paraId="61813614" w14:textId="77777777" w:rsidTr="00FD1C64">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642B76D" w14:textId="77777777" w:rsidR="003F7043" w:rsidRPr="003F7043" w:rsidRDefault="003F7043" w:rsidP="003F7043">
            <w:pPr>
              <w:spacing w:after="0" w:line="240" w:lineRule="auto"/>
              <w:rPr>
                <w:rFonts w:ascii="Calibri" w:eastAsia="Times New Roman" w:hAnsi="Calibri" w:cs="Calibri"/>
                <w:color w:val="000000"/>
              </w:rPr>
            </w:pPr>
            <w:r w:rsidRPr="003F7043">
              <w:rPr>
                <w:rFonts w:ascii="Calibri" w:eastAsia="Times New Roman" w:hAnsi="Calibri" w:cs="Calibri"/>
                <w:color w:val="000000"/>
              </w:rPr>
              <w:t>Sep 2023</w:t>
            </w:r>
          </w:p>
        </w:tc>
        <w:tc>
          <w:tcPr>
            <w:tcW w:w="1387" w:type="dxa"/>
            <w:tcBorders>
              <w:top w:val="nil"/>
              <w:left w:val="nil"/>
              <w:bottom w:val="single" w:sz="4" w:space="0" w:color="auto"/>
              <w:right w:val="single" w:sz="4" w:space="0" w:color="auto"/>
            </w:tcBorders>
            <w:shd w:val="clear" w:color="auto" w:fill="auto"/>
            <w:noWrap/>
            <w:vAlign w:val="bottom"/>
            <w:hideMark/>
          </w:tcPr>
          <w:p w14:paraId="2883C09E" w14:textId="77777777" w:rsidR="003F7043" w:rsidRPr="003F7043" w:rsidRDefault="003F7043" w:rsidP="003F7043">
            <w:pPr>
              <w:spacing w:after="0" w:line="240" w:lineRule="auto"/>
              <w:jc w:val="right"/>
              <w:rPr>
                <w:rFonts w:ascii="Calibri" w:eastAsia="Times New Roman" w:hAnsi="Calibri" w:cs="Calibri"/>
                <w:color w:val="000000"/>
              </w:rPr>
            </w:pPr>
            <w:r w:rsidRPr="003F7043">
              <w:rPr>
                <w:rFonts w:ascii="Calibri" w:eastAsia="Times New Roman" w:hAnsi="Calibri" w:cs="Calibri"/>
                <w:color w:val="000000"/>
              </w:rPr>
              <w:t>5.111146978</w:t>
            </w:r>
          </w:p>
        </w:tc>
      </w:tr>
    </w:tbl>
    <w:p w14:paraId="1DCC16A7" w14:textId="3E487439" w:rsidR="00FD1C64" w:rsidRDefault="00FD1C64" w:rsidP="00FD1C64">
      <w:r>
        <w:lastRenderedPageBreak/>
        <w:t xml:space="preserve">The forecast shows that unemployment rate in the USA might </w:t>
      </w:r>
      <w:r w:rsidR="00837C5A">
        <w:t>steadily</w:t>
      </w:r>
      <w:r>
        <w:t xml:space="preserve"> </w:t>
      </w:r>
      <w:r w:rsidR="00837C5A">
        <w:t xml:space="preserve">increase, </w:t>
      </w:r>
      <w:r w:rsidR="00E601BA">
        <w:t xml:space="preserve">surpassing 5% by May 2023, reaching up </w:t>
      </w:r>
      <w:r w:rsidR="00782065">
        <w:t>to 5,11% in September 2023.</w:t>
      </w:r>
    </w:p>
    <w:p w14:paraId="50EDE834" w14:textId="77777777" w:rsidR="00426F32" w:rsidRPr="00EF69CD" w:rsidRDefault="00426F32" w:rsidP="00426F32"/>
    <w:p w14:paraId="6F0ADF86" w14:textId="07D644A2" w:rsidR="0005545A" w:rsidRPr="0067555C" w:rsidRDefault="0005545A" w:rsidP="0005545A">
      <w:pPr>
        <w:pStyle w:val="ListParagraph"/>
        <w:numPr>
          <w:ilvl w:val="0"/>
          <w:numId w:val="7"/>
        </w:numPr>
        <w:jc w:val="center"/>
      </w:pPr>
      <w:r>
        <w:rPr>
          <w:b/>
          <w:bCs/>
        </w:rPr>
        <w:t xml:space="preserve">Evolution of </w:t>
      </w:r>
      <w:r w:rsidR="0067555C">
        <w:rPr>
          <w:b/>
          <w:bCs/>
        </w:rPr>
        <w:t>Gasoline price in USD</w:t>
      </w:r>
      <w:r>
        <w:rPr>
          <w:b/>
          <w:bCs/>
        </w:rPr>
        <w:t xml:space="preserve"> from 2019 to August 2022</w:t>
      </w:r>
    </w:p>
    <w:p w14:paraId="08EE145D" w14:textId="77777777" w:rsidR="0067555C" w:rsidRDefault="0067555C" w:rsidP="0067555C"/>
    <w:p w14:paraId="1A4A7FE4" w14:textId="70663A24" w:rsidR="0067555C" w:rsidRPr="001E7E83" w:rsidRDefault="00D26A1C" w:rsidP="0067555C">
      <w:r>
        <w:rPr>
          <w:noProof/>
        </w:rPr>
        <w:drawing>
          <wp:inline distT="0" distB="0" distL="0" distR="0" wp14:anchorId="1CD157BD" wp14:editId="5B6B1A89">
            <wp:extent cx="5943600" cy="3857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6179710B" w14:textId="77777777" w:rsidR="00EF69CD" w:rsidRDefault="00EF69CD" w:rsidP="00DE2F5F">
      <w:pPr>
        <w:pStyle w:val="ListParagraph"/>
      </w:pPr>
    </w:p>
    <w:p w14:paraId="50B32F7B" w14:textId="5A3E1E86" w:rsidR="00E627A6" w:rsidRDefault="00E627A6" w:rsidP="00E627A6">
      <w:r>
        <w:t xml:space="preserve">The </w:t>
      </w:r>
      <w:r w:rsidR="00162A5F">
        <w:t>chart</w:t>
      </w:r>
      <w:r>
        <w:t xml:space="preserve"> shows that the average of </w:t>
      </w:r>
      <w:r w:rsidR="00456EBD">
        <w:t>gasoli</w:t>
      </w:r>
      <w:r w:rsidR="00395C4B">
        <w:t>ne price</w:t>
      </w:r>
      <w:r>
        <w:t xml:space="preserve"> in </w:t>
      </w:r>
      <w:r w:rsidR="00395C4B">
        <w:t>non-</w:t>
      </w:r>
      <w:r>
        <w:t xml:space="preserve">eurozone countries has varied throughout the study, notoriously </w:t>
      </w:r>
      <w:r w:rsidR="005D5B39">
        <w:t xml:space="preserve">dropped </w:t>
      </w:r>
      <w:r w:rsidR="007E2C22">
        <w:t>in</w:t>
      </w:r>
      <w:r w:rsidR="007A51E0">
        <w:t xml:space="preserve"> </w:t>
      </w:r>
      <w:r>
        <w:t>April 2020, likely due to the lockdown occasioned by the covid 2019 pandemic</w:t>
      </w:r>
      <w:r w:rsidR="007E2C22">
        <w:t xml:space="preserve"> </w:t>
      </w:r>
      <w:r w:rsidR="00994335">
        <w:t xml:space="preserve">that generated a </w:t>
      </w:r>
      <w:r w:rsidR="007E2C22">
        <w:t>low consume</w:t>
      </w:r>
      <w:r>
        <w:t>. However,</w:t>
      </w:r>
      <w:r w:rsidR="00075551">
        <w:t xml:space="preserve"> the prices</w:t>
      </w:r>
      <w:r w:rsidR="00036A0A">
        <w:t xml:space="preserve"> steadily</w:t>
      </w:r>
      <w:r w:rsidR="00075551">
        <w:t xml:space="preserve"> increased since April 2020</w:t>
      </w:r>
      <w:r w:rsidR="00036A0A">
        <w:t xml:space="preserve"> until June 2022, a new inflection point where</w:t>
      </w:r>
      <w:r w:rsidR="00887D23">
        <w:t xml:space="preserve"> prices started declining since then.</w:t>
      </w:r>
    </w:p>
    <w:p w14:paraId="094BE7B4" w14:textId="77777777" w:rsidR="00887D23" w:rsidRDefault="00887D23" w:rsidP="00E627A6"/>
    <w:p w14:paraId="0B6B2F83" w14:textId="5EBE34EF" w:rsidR="00887D23" w:rsidRDefault="008D2721" w:rsidP="00E627A6">
      <w:r>
        <w:rPr>
          <w:noProof/>
        </w:rPr>
        <w:lastRenderedPageBreak/>
        <w:drawing>
          <wp:inline distT="0" distB="0" distL="0" distR="0" wp14:anchorId="4201982E" wp14:editId="07816A78">
            <wp:extent cx="5943600" cy="3857625"/>
            <wp:effectExtent l="0" t="0" r="0" b="952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3FA6DF83" w14:textId="3973DF19" w:rsidR="00EF69CD" w:rsidRDefault="00EF69CD" w:rsidP="00EF69CD"/>
    <w:p w14:paraId="0694EDAB" w14:textId="21208EEE" w:rsidR="008D2721" w:rsidRDefault="008D2721" w:rsidP="008D2721">
      <w:r>
        <w:t xml:space="preserve">The </w:t>
      </w:r>
      <w:r w:rsidR="00E33D3D">
        <w:t>chart</w:t>
      </w:r>
      <w:r>
        <w:t xml:space="preserve"> shows that the average of gasoline price in eurozone countries has varied throughout the study, notoriously dropped in April 2020, likely due to the lockdown occasioned by the covid 2019 pandemic that generated a low consume. However, the prices steadily increased since April 2020 until June 2022, a new inflection point where prices started declining since then.</w:t>
      </w:r>
    </w:p>
    <w:p w14:paraId="5F8CB099" w14:textId="77777777" w:rsidR="008071BE" w:rsidRDefault="008071BE" w:rsidP="008D2721"/>
    <w:p w14:paraId="7E92E7C9" w14:textId="0D7E726E" w:rsidR="008071BE" w:rsidRDefault="008071BE" w:rsidP="008D2721">
      <w:r>
        <w:rPr>
          <w:noProof/>
        </w:rPr>
        <w:lastRenderedPageBreak/>
        <w:drawing>
          <wp:inline distT="0" distB="0" distL="0" distR="0" wp14:anchorId="46F88B93" wp14:editId="1BF6279C">
            <wp:extent cx="5943600" cy="3857625"/>
            <wp:effectExtent l="0" t="0" r="0" b="952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7167CF20" w14:textId="5ECD9CD6" w:rsidR="00DF41E7" w:rsidRDefault="0082080D">
      <w:r>
        <w:t xml:space="preserve">The </w:t>
      </w:r>
      <w:r w:rsidR="00E33D3D">
        <w:t>chart</w:t>
      </w:r>
      <w:r>
        <w:t xml:space="preserve"> shows that the average of gasoline price Russia has varied throughout the study,</w:t>
      </w:r>
      <w:r w:rsidR="00397899">
        <w:t xml:space="preserve"> maintained relatively stable from 0.5 USD to</w:t>
      </w:r>
      <w:r w:rsidR="00E940DD">
        <w:t xml:space="preserve"> 0,75 USD per liter until</w:t>
      </w:r>
      <w:r w:rsidR="00D1717C">
        <w:t xml:space="preserve"> February 2022</w:t>
      </w:r>
      <w:r>
        <w:t xml:space="preserve">. However, </w:t>
      </w:r>
      <w:r w:rsidR="00A17A39">
        <w:t>the price dropped</w:t>
      </w:r>
      <w:r w:rsidR="00C411DF">
        <w:t xml:space="preserve"> in March 2022,</w:t>
      </w:r>
      <w:r w:rsidR="00C411DF" w:rsidRPr="00C411DF">
        <w:t xml:space="preserve"> </w:t>
      </w:r>
      <w:r w:rsidR="00C411DF">
        <w:t>most likely due to the beginning of the war on Ukraine</w:t>
      </w:r>
      <w:r w:rsidR="00947152">
        <w:t xml:space="preserve"> and notoriously increased up to 1 USD per liter</w:t>
      </w:r>
      <w:r w:rsidR="001D637C">
        <w:t xml:space="preserve"> in June 2022.</w:t>
      </w:r>
    </w:p>
    <w:p w14:paraId="77128B1F" w14:textId="77777777" w:rsidR="001D637C" w:rsidRDefault="001D637C"/>
    <w:p w14:paraId="719E41B3" w14:textId="6AB6096B" w:rsidR="001D637C" w:rsidRDefault="001D637C">
      <w:r>
        <w:rPr>
          <w:noProof/>
        </w:rPr>
        <w:lastRenderedPageBreak/>
        <w:drawing>
          <wp:inline distT="0" distB="0" distL="0" distR="0" wp14:anchorId="6494459B" wp14:editId="5D7A0663">
            <wp:extent cx="5943600" cy="3857625"/>
            <wp:effectExtent l="0" t="0" r="0" b="952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704E6109" w14:textId="77777777" w:rsidR="000C42B2" w:rsidRDefault="000C42B2"/>
    <w:p w14:paraId="7B872821" w14:textId="03B3BE41" w:rsidR="000C42B2" w:rsidRDefault="000C42B2">
      <w:r>
        <w:t xml:space="preserve">The </w:t>
      </w:r>
      <w:r w:rsidR="006D5E14">
        <w:t>chart</w:t>
      </w:r>
      <w:r>
        <w:t xml:space="preserve"> shows that the average of gasoline price in </w:t>
      </w:r>
      <w:r w:rsidR="00E673AE">
        <w:t>Turkey</w:t>
      </w:r>
      <w:r>
        <w:t xml:space="preserve"> has varied throughout the study, notoriously dropped in April 2020, likely due to the lockdown occasioned by the covid 2019 pandemic that generated a low consume. However, the prices steadily increased </w:t>
      </w:r>
      <w:r w:rsidR="00E673AE">
        <w:t>and maintained relatively stable until</w:t>
      </w:r>
      <w:r w:rsidR="00A05B4D">
        <w:t xml:space="preserve"> November 2021</w:t>
      </w:r>
      <w:r w:rsidR="007D0C47">
        <w:t xml:space="preserve">, where price started a rally surpassing 1.5 USD per </w:t>
      </w:r>
      <w:r w:rsidR="00FC794F">
        <w:t>liter and</w:t>
      </w:r>
      <w:r w:rsidR="007D0C47">
        <w:t xml:space="preserve"> </w:t>
      </w:r>
      <w:r w:rsidR="00FC794F">
        <w:t>declining since then.</w:t>
      </w:r>
    </w:p>
    <w:p w14:paraId="582492A9" w14:textId="77777777" w:rsidR="00FC794F" w:rsidRDefault="00FC794F"/>
    <w:p w14:paraId="46EBD5E8" w14:textId="42B60003" w:rsidR="00FC794F" w:rsidRDefault="00FC794F">
      <w:r>
        <w:rPr>
          <w:noProof/>
        </w:rPr>
        <w:lastRenderedPageBreak/>
        <w:drawing>
          <wp:inline distT="0" distB="0" distL="0" distR="0" wp14:anchorId="5B2B4E5A" wp14:editId="5D51DB03">
            <wp:extent cx="5943600" cy="3857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0">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0FFA61EC" w14:textId="77777777" w:rsidR="00FC794F" w:rsidRDefault="00FC794F"/>
    <w:p w14:paraId="3D9F9EDC" w14:textId="7EDBCD0B" w:rsidR="00FC794F" w:rsidRDefault="00FC794F" w:rsidP="00FC794F">
      <w:r>
        <w:t xml:space="preserve">The </w:t>
      </w:r>
      <w:r w:rsidR="006D5E14">
        <w:t>chart</w:t>
      </w:r>
      <w:r>
        <w:t xml:space="preserve"> shows that the average of gasoline price in </w:t>
      </w:r>
      <w:r w:rsidR="00C91699">
        <w:t xml:space="preserve">the USA </w:t>
      </w:r>
      <w:r>
        <w:t>has varied throughout the study</w:t>
      </w:r>
      <w:r w:rsidR="00C34021">
        <w:t xml:space="preserve"> and maintained stable until </w:t>
      </w:r>
      <w:r>
        <w:t>April 2020</w:t>
      </w:r>
      <w:r w:rsidR="00C34021">
        <w:t xml:space="preserve"> within a range</w:t>
      </w:r>
      <w:r w:rsidR="001E588D">
        <w:t xml:space="preserve"> from 0.5 USD to 0.7 USD per liter</w:t>
      </w:r>
      <w:r>
        <w:t>. However, the prices steadily increased since April 2020 until June 2022</w:t>
      </w:r>
      <w:r w:rsidR="00A22FBB">
        <w:t>, sur</w:t>
      </w:r>
      <w:r w:rsidR="00B652F3">
        <w:t>passing 1,2 USD per liter</w:t>
      </w:r>
      <w:r>
        <w:t>, a new inflection point where prices started declining since then.</w:t>
      </w:r>
    </w:p>
    <w:p w14:paraId="649184C6" w14:textId="77777777" w:rsidR="00FC794F" w:rsidRDefault="00FC794F"/>
    <w:p w14:paraId="024DCFD9" w14:textId="36105B65" w:rsidR="00F613D5" w:rsidRDefault="007E0847">
      <w:r>
        <w:rPr>
          <w:noProof/>
        </w:rPr>
        <w:lastRenderedPageBreak/>
        <w:drawing>
          <wp:inline distT="0" distB="0" distL="0" distR="0" wp14:anchorId="2C8F04DD" wp14:editId="35D590E4">
            <wp:extent cx="5943600" cy="3857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5B272C12" w14:textId="77777777" w:rsidR="007E0847" w:rsidRDefault="007E0847"/>
    <w:p w14:paraId="15FE91CB" w14:textId="5BDC1828" w:rsidR="007E0847" w:rsidRDefault="007E0847" w:rsidP="007E0847">
      <w:r>
        <w:t xml:space="preserve">The </w:t>
      </w:r>
      <w:r w:rsidR="006D5E14">
        <w:t>chart</w:t>
      </w:r>
      <w:r>
        <w:t xml:space="preserve"> shows that </w:t>
      </w:r>
      <w:r w:rsidR="00C8780C">
        <w:t>gasoline prices</w:t>
      </w:r>
      <w:r>
        <w:t xml:space="preserve"> </w:t>
      </w:r>
      <w:r w:rsidR="0046183F">
        <w:t>steadily increased</w:t>
      </w:r>
      <w:r>
        <w:t xml:space="preserve"> throughout the period, highlighting </w:t>
      </w:r>
      <w:r w:rsidR="002B39DF">
        <w:t>Eurozone and Non</w:t>
      </w:r>
      <w:r w:rsidR="00950A8D">
        <w:t>-</w:t>
      </w:r>
      <w:r w:rsidR="002B39DF">
        <w:t>Eurozone countries</w:t>
      </w:r>
      <w:r w:rsidR="009B6A18">
        <w:t xml:space="preserve"> by presenting the highest prices</w:t>
      </w:r>
      <w:r w:rsidR="00B874F3">
        <w:t xml:space="preserve"> in the </w:t>
      </w:r>
      <w:r w:rsidR="001D3696">
        <w:t>study, surpassing 1.5 USD per liter.</w:t>
      </w:r>
      <w:r w:rsidR="007E4DC8">
        <w:t xml:space="preserve"> However, prices in Russia maintained relativ</w:t>
      </w:r>
      <w:r w:rsidR="00AE3C98">
        <w:t>ely stable until the first quarter of 2022, likely due to the war on Ukraine that occasioned a</w:t>
      </w:r>
      <w:r w:rsidR="00246E36">
        <w:t xml:space="preserve"> price increase.</w:t>
      </w:r>
    </w:p>
    <w:p w14:paraId="622BC434" w14:textId="7ACC6002" w:rsidR="007E0847" w:rsidRDefault="007E0847" w:rsidP="007E0847">
      <w:r>
        <w:t>During the stud</w:t>
      </w:r>
      <w:r w:rsidR="002F36C5">
        <w:t>y,</w:t>
      </w:r>
      <w:r w:rsidR="00EB41AF">
        <w:t xml:space="preserve"> June 2022 was the month with highest prices</w:t>
      </w:r>
      <w:r w:rsidR="000D33DF">
        <w:t xml:space="preserve"> for every group, </w:t>
      </w:r>
      <w:r w:rsidR="000435D9">
        <w:t>being a</w:t>
      </w:r>
      <w:r w:rsidR="004B25EE">
        <w:t>n</w:t>
      </w:r>
      <w:r w:rsidR="000435D9">
        <w:t xml:space="preserve"> inflection point</w:t>
      </w:r>
      <w:r w:rsidR="00E02601">
        <w:t xml:space="preserve"> </w:t>
      </w:r>
      <w:r w:rsidR="004B25EE">
        <w:t>that started a</w:t>
      </w:r>
      <w:r w:rsidR="00E02601">
        <w:t xml:space="preserve"> decline of prices for the rest of months.</w:t>
      </w:r>
    </w:p>
    <w:p w14:paraId="3A166378" w14:textId="77777777" w:rsidR="002F12B0" w:rsidRDefault="002F12B0" w:rsidP="007E0847"/>
    <w:p w14:paraId="08E1783B" w14:textId="77777777" w:rsidR="002F12B0" w:rsidRDefault="002F12B0" w:rsidP="007E0847"/>
    <w:p w14:paraId="1BA8101C" w14:textId="77777777" w:rsidR="002F12B0" w:rsidRDefault="002F12B0" w:rsidP="007E0847"/>
    <w:p w14:paraId="31D3FBE3" w14:textId="77777777" w:rsidR="002F12B0" w:rsidRDefault="002F12B0" w:rsidP="007E0847"/>
    <w:p w14:paraId="505FEE38" w14:textId="77777777" w:rsidR="002F12B0" w:rsidRDefault="002F12B0" w:rsidP="007E0847"/>
    <w:p w14:paraId="1C0F5DD5" w14:textId="77777777" w:rsidR="002F12B0" w:rsidRDefault="002F12B0" w:rsidP="007E0847"/>
    <w:p w14:paraId="5C790F43" w14:textId="77777777" w:rsidR="002F12B0" w:rsidRDefault="002F12B0" w:rsidP="007E0847"/>
    <w:p w14:paraId="093BD942" w14:textId="77777777" w:rsidR="002F12B0" w:rsidRDefault="002F12B0" w:rsidP="007E0847"/>
    <w:p w14:paraId="5BB565EA" w14:textId="77777777" w:rsidR="00782D76" w:rsidRDefault="00782D76" w:rsidP="007E0847"/>
    <w:p w14:paraId="2A95E337" w14:textId="0894B591" w:rsidR="00491617" w:rsidRPr="00C02E2B" w:rsidRDefault="00C02E2B" w:rsidP="00DC113B">
      <w:pPr>
        <w:pStyle w:val="ListParagraph"/>
        <w:numPr>
          <w:ilvl w:val="0"/>
          <w:numId w:val="7"/>
        </w:numPr>
        <w:jc w:val="center"/>
      </w:pPr>
      <w:r>
        <w:rPr>
          <w:b/>
          <w:bCs/>
        </w:rPr>
        <w:lastRenderedPageBreak/>
        <w:t>Correlation between variables.</w:t>
      </w:r>
    </w:p>
    <w:p w14:paraId="26A481D0" w14:textId="77777777" w:rsidR="00C02E2B" w:rsidRDefault="00C02E2B" w:rsidP="00C02E2B">
      <w:pPr>
        <w:pStyle w:val="ListParagraph"/>
        <w:rPr>
          <w:b/>
          <w:bCs/>
        </w:rPr>
      </w:pPr>
    </w:p>
    <w:p w14:paraId="099519BE" w14:textId="0C4CDD2D" w:rsidR="00C02E2B" w:rsidRPr="00D94532" w:rsidRDefault="00D94532" w:rsidP="00F80B68">
      <w:pPr>
        <w:pStyle w:val="ListParagraph"/>
        <w:numPr>
          <w:ilvl w:val="0"/>
          <w:numId w:val="7"/>
        </w:numPr>
      </w:pPr>
      <w:r>
        <w:rPr>
          <w:b/>
          <w:bCs/>
        </w:rPr>
        <w:t>Non- Eurozone countries</w:t>
      </w:r>
    </w:p>
    <w:p w14:paraId="264E3595" w14:textId="77777777" w:rsidR="00D94532" w:rsidRDefault="00D94532" w:rsidP="00D94532">
      <w:pPr>
        <w:pStyle w:val="ListParagraph"/>
      </w:pPr>
    </w:p>
    <w:p w14:paraId="21CF3C6F" w14:textId="01987210" w:rsidR="00D94532" w:rsidRDefault="00CD2228" w:rsidP="00D94532">
      <w:pPr>
        <w:pStyle w:val="ListParagraph"/>
      </w:pPr>
      <w:r>
        <w:rPr>
          <w:noProof/>
        </w:rPr>
        <w:drawing>
          <wp:inline distT="0" distB="0" distL="0" distR="0" wp14:anchorId="505C92DF" wp14:editId="1399542A">
            <wp:extent cx="3672840" cy="2383814"/>
            <wp:effectExtent l="0" t="0" r="381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683457" cy="2390705"/>
                    </a:xfrm>
                    <a:prstGeom prst="rect">
                      <a:avLst/>
                    </a:prstGeom>
                  </pic:spPr>
                </pic:pic>
              </a:graphicData>
            </a:graphic>
          </wp:inline>
        </w:drawing>
      </w:r>
    </w:p>
    <w:p w14:paraId="0ADCF9BF" w14:textId="77777777" w:rsidR="00DF59F0" w:rsidRDefault="00DF59F0" w:rsidP="00D94532">
      <w:pPr>
        <w:pStyle w:val="ListParagraph"/>
      </w:pPr>
    </w:p>
    <w:p w14:paraId="0F88A5C0" w14:textId="376E276B" w:rsidR="00DF59F0" w:rsidRDefault="005E3113" w:rsidP="00D94532">
      <w:pPr>
        <w:pStyle w:val="ListParagraph"/>
      </w:pPr>
      <w:r>
        <w:t>This chart shows</w:t>
      </w:r>
      <w:r w:rsidR="00682189">
        <w:t xml:space="preserve"> a strong positive correlation between</w:t>
      </w:r>
      <w:r w:rsidR="00645CDF">
        <w:t xml:space="preserve"> Inflation rate and Gasoline prices</w:t>
      </w:r>
      <w:r w:rsidR="00395A81">
        <w:t xml:space="preserve"> in </w:t>
      </w:r>
      <w:proofErr w:type="gramStart"/>
      <w:r w:rsidR="00395A81">
        <w:t>Non-Eurozone</w:t>
      </w:r>
      <w:proofErr w:type="gramEnd"/>
      <w:r w:rsidR="00395A81">
        <w:t xml:space="preserve"> countries</w:t>
      </w:r>
      <w:r w:rsidR="006B6A0D">
        <w:t>,</w:t>
      </w:r>
      <w:r w:rsidR="0038131B">
        <w:t xml:space="preserve"> an increase of inflation may increase th</w:t>
      </w:r>
      <w:r w:rsidR="00522630">
        <w:t xml:space="preserve">e gasoline price or </w:t>
      </w:r>
      <w:r w:rsidR="0028154E">
        <w:t>vice versa</w:t>
      </w:r>
      <w:r w:rsidR="00522630">
        <w:t>.</w:t>
      </w:r>
    </w:p>
    <w:p w14:paraId="23152543" w14:textId="77777777" w:rsidR="00DF59F0" w:rsidRDefault="00DF59F0" w:rsidP="00D94532">
      <w:pPr>
        <w:pStyle w:val="ListParagraph"/>
      </w:pPr>
    </w:p>
    <w:p w14:paraId="084C33E4" w14:textId="77777777" w:rsidR="00CD2228" w:rsidRDefault="00CD2228" w:rsidP="00D94532">
      <w:pPr>
        <w:pStyle w:val="ListParagraph"/>
      </w:pPr>
    </w:p>
    <w:p w14:paraId="42AAF1B7" w14:textId="77777777" w:rsidR="00CD2228" w:rsidRDefault="00CD2228" w:rsidP="00D94532">
      <w:pPr>
        <w:pStyle w:val="ListParagraph"/>
      </w:pPr>
    </w:p>
    <w:p w14:paraId="4DC44827" w14:textId="34A5B202" w:rsidR="00CD2228" w:rsidRPr="0016181D" w:rsidRDefault="00F62242" w:rsidP="00D94532">
      <w:pPr>
        <w:pStyle w:val="ListParagraph"/>
      </w:pPr>
      <w:r>
        <w:rPr>
          <w:noProof/>
        </w:rPr>
        <w:drawing>
          <wp:inline distT="0" distB="0" distL="0" distR="0" wp14:anchorId="53AAC9AC" wp14:editId="5A66FE85">
            <wp:extent cx="3642360" cy="2364032"/>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652422" cy="2370563"/>
                    </a:xfrm>
                    <a:prstGeom prst="rect">
                      <a:avLst/>
                    </a:prstGeom>
                  </pic:spPr>
                </pic:pic>
              </a:graphicData>
            </a:graphic>
          </wp:inline>
        </w:drawing>
      </w:r>
    </w:p>
    <w:p w14:paraId="51B1DC89" w14:textId="428CDFD1" w:rsidR="00801B61" w:rsidRDefault="00801B61" w:rsidP="007E0847"/>
    <w:p w14:paraId="7E78177F" w14:textId="56867A4C" w:rsidR="00287340" w:rsidRDefault="00287340" w:rsidP="00287340">
      <w:pPr>
        <w:pStyle w:val="ListParagraph"/>
      </w:pPr>
      <w:r>
        <w:t xml:space="preserve">This chart shows a strong </w:t>
      </w:r>
      <w:r w:rsidR="000C163B">
        <w:t>negative</w:t>
      </w:r>
      <w:r>
        <w:t xml:space="preserve"> correlation between Inflation rate and </w:t>
      </w:r>
      <w:r w:rsidR="00171995">
        <w:t>unemployment rate</w:t>
      </w:r>
      <w:r w:rsidR="004F0353">
        <w:t xml:space="preserve"> in </w:t>
      </w:r>
      <w:proofErr w:type="gramStart"/>
      <w:r w:rsidR="004F0353">
        <w:t>Non-Eurozone</w:t>
      </w:r>
      <w:proofErr w:type="gramEnd"/>
      <w:r w:rsidR="004F0353">
        <w:t xml:space="preserve"> countries</w:t>
      </w:r>
      <w:r>
        <w:t xml:space="preserve">, an increase of inflation may </w:t>
      </w:r>
      <w:r w:rsidR="00C14A5F">
        <w:t>diminish</w:t>
      </w:r>
      <w:r>
        <w:t xml:space="preserve"> the </w:t>
      </w:r>
      <w:r w:rsidR="00A64B7F">
        <w:t>unemployment rate</w:t>
      </w:r>
      <w:r>
        <w:t xml:space="preserve"> or </w:t>
      </w:r>
      <w:r w:rsidR="0028154E">
        <w:t>vice versa</w:t>
      </w:r>
      <w:r>
        <w:t>.</w:t>
      </w:r>
    </w:p>
    <w:p w14:paraId="4D49504C" w14:textId="77777777" w:rsidR="00801B61" w:rsidRDefault="00801B61" w:rsidP="007E0847"/>
    <w:p w14:paraId="017A39D5" w14:textId="317339B5" w:rsidR="00801B61" w:rsidRDefault="00801B61" w:rsidP="007E0847"/>
    <w:p w14:paraId="0949B595" w14:textId="2C7993FF" w:rsidR="00801B61" w:rsidRDefault="00801B61" w:rsidP="007E0847"/>
    <w:p w14:paraId="7DEDA3D5" w14:textId="37A5BC6B" w:rsidR="00801B61" w:rsidRDefault="00511E95" w:rsidP="00230CF1">
      <w:pPr>
        <w:pStyle w:val="ListParagraph"/>
        <w:numPr>
          <w:ilvl w:val="0"/>
          <w:numId w:val="7"/>
        </w:numPr>
        <w:rPr>
          <w:b/>
          <w:bCs/>
        </w:rPr>
      </w:pPr>
      <w:r>
        <w:rPr>
          <w:b/>
          <w:bCs/>
        </w:rPr>
        <w:t>Eurozone countries</w:t>
      </w:r>
    </w:p>
    <w:p w14:paraId="0CEE4703" w14:textId="77777777" w:rsidR="00511E95" w:rsidRDefault="00511E95" w:rsidP="00511E95">
      <w:pPr>
        <w:ind w:left="360"/>
        <w:rPr>
          <w:b/>
          <w:bCs/>
        </w:rPr>
      </w:pPr>
    </w:p>
    <w:p w14:paraId="4CEFBAAA" w14:textId="558D91FE" w:rsidR="00511E95" w:rsidRDefault="00511E95" w:rsidP="00511E95">
      <w:pPr>
        <w:ind w:left="360"/>
        <w:rPr>
          <w:b/>
          <w:bCs/>
        </w:rPr>
      </w:pPr>
      <w:r>
        <w:rPr>
          <w:b/>
          <w:bCs/>
          <w:noProof/>
        </w:rPr>
        <w:drawing>
          <wp:inline distT="0" distB="0" distL="0" distR="0" wp14:anchorId="3326916B" wp14:editId="35B935CC">
            <wp:extent cx="3566160" cy="2314575"/>
            <wp:effectExtent l="0" t="0" r="0" b="952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71214" cy="2317855"/>
                    </a:xfrm>
                    <a:prstGeom prst="rect">
                      <a:avLst/>
                    </a:prstGeom>
                  </pic:spPr>
                </pic:pic>
              </a:graphicData>
            </a:graphic>
          </wp:inline>
        </w:drawing>
      </w:r>
    </w:p>
    <w:p w14:paraId="667BF8A7" w14:textId="6088F3D0" w:rsidR="004C33F8" w:rsidRDefault="004C33F8" w:rsidP="004C33F8">
      <w:pPr>
        <w:pStyle w:val="ListParagraph"/>
      </w:pPr>
      <w:r>
        <w:t>This chart shows a strong positive correlation between Inflation rate and Gasoline prices in Eurozone countries, an increase of inflation may increase the gasoline price or vice versa.</w:t>
      </w:r>
    </w:p>
    <w:p w14:paraId="3C72CBC8" w14:textId="77777777" w:rsidR="00B0263C" w:rsidRDefault="00B0263C" w:rsidP="00511E95">
      <w:pPr>
        <w:ind w:left="360"/>
        <w:rPr>
          <w:b/>
          <w:bCs/>
        </w:rPr>
      </w:pPr>
    </w:p>
    <w:p w14:paraId="24C3AD5C" w14:textId="77777777" w:rsidR="00C133AD" w:rsidRDefault="00C133AD" w:rsidP="00511E95">
      <w:pPr>
        <w:ind w:left="360"/>
        <w:rPr>
          <w:b/>
          <w:bCs/>
        </w:rPr>
      </w:pPr>
    </w:p>
    <w:p w14:paraId="4C412B51" w14:textId="3B71908F" w:rsidR="00C133AD" w:rsidRPr="00511E95" w:rsidRDefault="00C133AD" w:rsidP="00511E95">
      <w:pPr>
        <w:ind w:left="360"/>
        <w:rPr>
          <w:b/>
          <w:bCs/>
        </w:rPr>
      </w:pPr>
      <w:r>
        <w:rPr>
          <w:b/>
          <w:bCs/>
          <w:noProof/>
        </w:rPr>
        <w:drawing>
          <wp:inline distT="0" distB="0" distL="0" distR="0" wp14:anchorId="0EC3831D" wp14:editId="3463C746">
            <wp:extent cx="3709981" cy="2407920"/>
            <wp:effectExtent l="0" t="0" r="508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722219" cy="2415863"/>
                    </a:xfrm>
                    <a:prstGeom prst="rect">
                      <a:avLst/>
                    </a:prstGeom>
                  </pic:spPr>
                </pic:pic>
              </a:graphicData>
            </a:graphic>
          </wp:inline>
        </w:drawing>
      </w:r>
    </w:p>
    <w:p w14:paraId="0379007E" w14:textId="2652A16C" w:rsidR="00645315" w:rsidRDefault="00645315" w:rsidP="00645315">
      <w:pPr>
        <w:pStyle w:val="ListParagraph"/>
      </w:pPr>
      <w:r>
        <w:t>This chart shows a strong negative correlation between Inflation rate and unemployment rate in Eurozone countries, an increase of inflation may diminish the unemployment rate or vice versa.</w:t>
      </w:r>
    </w:p>
    <w:p w14:paraId="45F0EBFB" w14:textId="77777777" w:rsidR="00745EA7" w:rsidRDefault="00745EA7" w:rsidP="00645315">
      <w:pPr>
        <w:pStyle w:val="ListParagraph"/>
      </w:pPr>
    </w:p>
    <w:p w14:paraId="172770AE" w14:textId="77777777" w:rsidR="00745EA7" w:rsidRDefault="00745EA7" w:rsidP="00645315">
      <w:pPr>
        <w:pStyle w:val="ListParagraph"/>
      </w:pPr>
    </w:p>
    <w:p w14:paraId="1941A1D5" w14:textId="77777777" w:rsidR="00745EA7" w:rsidRDefault="00745EA7" w:rsidP="00645315">
      <w:pPr>
        <w:pStyle w:val="ListParagraph"/>
      </w:pPr>
    </w:p>
    <w:p w14:paraId="0101F4D2" w14:textId="77777777" w:rsidR="00745EA7" w:rsidRDefault="00745EA7" w:rsidP="00645315">
      <w:pPr>
        <w:pStyle w:val="ListParagraph"/>
      </w:pPr>
    </w:p>
    <w:p w14:paraId="309F77EF" w14:textId="77777777" w:rsidR="00745EA7" w:rsidRDefault="00745EA7" w:rsidP="00645315">
      <w:pPr>
        <w:pStyle w:val="ListParagraph"/>
      </w:pPr>
    </w:p>
    <w:p w14:paraId="642C67D4" w14:textId="3B693B27" w:rsidR="00745EA7" w:rsidRPr="0063599E" w:rsidRDefault="0063599E" w:rsidP="00745EA7">
      <w:pPr>
        <w:pStyle w:val="ListParagraph"/>
        <w:numPr>
          <w:ilvl w:val="0"/>
          <w:numId w:val="7"/>
        </w:numPr>
      </w:pPr>
      <w:r>
        <w:rPr>
          <w:b/>
          <w:bCs/>
        </w:rPr>
        <w:lastRenderedPageBreak/>
        <w:t>Turkey</w:t>
      </w:r>
    </w:p>
    <w:p w14:paraId="0EC625B1" w14:textId="0370AECC" w:rsidR="0063599E" w:rsidRDefault="0063599E" w:rsidP="0063599E">
      <w:pPr>
        <w:ind w:left="360"/>
      </w:pPr>
      <w:r>
        <w:rPr>
          <w:noProof/>
        </w:rPr>
        <w:drawing>
          <wp:inline distT="0" distB="0" distL="0" distR="0" wp14:anchorId="14EE7332" wp14:editId="1F5E4EE9">
            <wp:extent cx="4191000" cy="2720120"/>
            <wp:effectExtent l="0" t="0" r="0" b="4445"/>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201654" cy="2727035"/>
                    </a:xfrm>
                    <a:prstGeom prst="rect">
                      <a:avLst/>
                    </a:prstGeom>
                  </pic:spPr>
                </pic:pic>
              </a:graphicData>
            </a:graphic>
          </wp:inline>
        </w:drawing>
      </w:r>
    </w:p>
    <w:p w14:paraId="126DC973" w14:textId="77777777" w:rsidR="00801B61" w:rsidRDefault="00801B61" w:rsidP="007E0847"/>
    <w:p w14:paraId="4B8DC359" w14:textId="1643D069" w:rsidR="00240ABE" w:rsidRDefault="00240ABE" w:rsidP="00240ABE">
      <w:pPr>
        <w:pStyle w:val="ListParagraph"/>
      </w:pPr>
      <w:r>
        <w:t>This chart shows a strong positive correlation between Inflation rate and Gasoline prices in Turk</w:t>
      </w:r>
      <w:r w:rsidR="007A6726">
        <w:t>ey</w:t>
      </w:r>
      <w:r>
        <w:t>, an increase of inflation may increase the gasoline price or vice versa.</w:t>
      </w:r>
    </w:p>
    <w:p w14:paraId="64A54D14" w14:textId="77777777" w:rsidR="00AC7DD5" w:rsidRDefault="00AC7DD5" w:rsidP="00240ABE">
      <w:pPr>
        <w:pStyle w:val="ListParagraph"/>
      </w:pPr>
    </w:p>
    <w:p w14:paraId="6C03B497" w14:textId="77777777" w:rsidR="008B3025" w:rsidRDefault="008B3025" w:rsidP="00240ABE">
      <w:pPr>
        <w:pStyle w:val="ListParagraph"/>
      </w:pPr>
    </w:p>
    <w:p w14:paraId="15CD1821" w14:textId="48DA19E7" w:rsidR="008B3025" w:rsidRPr="00AC7DD5" w:rsidRDefault="00AC7DD5" w:rsidP="008B3025">
      <w:pPr>
        <w:pStyle w:val="ListParagraph"/>
        <w:numPr>
          <w:ilvl w:val="0"/>
          <w:numId w:val="7"/>
        </w:numPr>
      </w:pPr>
      <w:r>
        <w:rPr>
          <w:b/>
          <w:bCs/>
        </w:rPr>
        <w:t>Russia</w:t>
      </w:r>
    </w:p>
    <w:p w14:paraId="50E3F6DA" w14:textId="77777777" w:rsidR="00AC7DD5" w:rsidRDefault="00AC7DD5" w:rsidP="00AC7DD5"/>
    <w:p w14:paraId="1003E70B" w14:textId="6AC60C47" w:rsidR="00AC7DD5" w:rsidRDefault="00796F95" w:rsidP="00AC7DD5">
      <w:r>
        <w:rPr>
          <w:noProof/>
        </w:rPr>
        <w:drawing>
          <wp:inline distT="0" distB="0" distL="0" distR="0" wp14:anchorId="4AD1FCB3" wp14:editId="58F2E5D3">
            <wp:extent cx="4160520" cy="2700338"/>
            <wp:effectExtent l="0" t="0" r="0" b="508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185048" cy="2716258"/>
                    </a:xfrm>
                    <a:prstGeom prst="rect">
                      <a:avLst/>
                    </a:prstGeom>
                  </pic:spPr>
                </pic:pic>
              </a:graphicData>
            </a:graphic>
          </wp:inline>
        </w:drawing>
      </w:r>
    </w:p>
    <w:p w14:paraId="3EAA350A" w14:textId="77777777" w:rsidR="008A339D" w:rsidRDefault="008A339D" w:rsidP="00AC7DD5"/>
    <w:p w14:paraId="29BB51D2" w14:textId="29D22AA9" w:rsidR="00D265D7" w:rsidRDefault="00D265D7" w:rsidP="00D265D7">
      <w:pPr>
        <w:pStyle w:val="ListParagraph"/>
      </w:pPr>
      <w:r>
        <w:lastRenderedPageBreak/>
        <w:t xml:space="preserve">This chart shows a </w:t>
      </w:r>
      <w:r w:rsidR="004E7CEE">
        <w:t>moderate</w:t>
      </w:r>
      <w:r>
        <w:t xml:space="preserve"> positive correlation between Inflation rate and Gasoline prices in </w:t>
      </w:r>
      <w:r w:rsidR="00CC7484">
        <w:t>Russia</w:t>
      </w:r>
      <w:r>
        <w:t xml:space="preserve">, an increase of inflation may </w:t>
      </w:r>
      <w:r w:rsidR="009278A6">
        <w:t xml:space="preserve">cause </w:t>
      </w:r>
      <w:r w:rsidR="00192C8D">
        <w:t xml:space="preserve">an </w:t>
      </w:r>
      <w:r>
        <w:t xml:space="preserve">increase </w:t>
      </w:r>
      <w:r w:rsidR="00192C8D">
        <w:t xml:space="preserve">of </w:t>
      </w:r>
      <w:r>
        <w:t>the gasoline price</w:t>
      </w:r>
      <w:r w:rsidR="00E01F64">
        <w:t xml:space="preserve"> at a certain level</w:t>
      </w:r>
      <w:r>
        <w:t xml:space="preserve"> or vice versa.</w:t>
      </w:r>
    </w:p>
    <w:p w14:paraId="1CA623C9" w14:textId="77777777" w:rsidR="00C87B4B" w:rsidRDefault="00C87B4B" w:rsidP="00D265D7">
      <w:pPr>
        <w:pStyle w:val="ListParagraph"/>
      </w:pPr>
    </w:p>
    <w:p w14:paraId="5F1B8E57" w14:textId="0E92A0FC" w:rsidR="00B74E0C" w:rsidRDefault="00DB7AB2" w:rsidP="00B74E0C">
      <w:pPr>
        <w:pStyle w:val="ListParagraph"/>
        <w:numPr>
          <w:ilvl w:val="0"/>
          <w:numId w:val="7"/>
        </w:numPr>
        <w:rPr>
          <w:b/>
          <w:bCs/>
        </w:rPr>
      </w:pPr>
      <w:r>
        <w:rPr>
          <w:b/>
          <w:bCs/>
        </w:rPr>
        <w:t>United State</w:t>
      </w:r>
      <w:r w:rsidR="00CF52BF">
        <w:rPr>
          <w:b/>
          <w:bCs/>
        </w:rPr>
        <w:t>s</w:t>
      </w:r>
    </w:p>
    <w:p w14:paraId="25569D48" w14:textId="77777777" w:rsidR="00CF52BF" w:rsidRPr="00CF52BF" w:rsidRDefault="00CF52BF" w:rsidP="00CF52BF">
      <w:pPr>
        <w:rPr>
          <w:b/>
          <w:bCs/>
        </w:rPr>
      </w:pPr>
    </w:p>
    <w:p w14:paraId="367D61FA" w14:textId="77777777" w:rsidR="00DB7AB2" w:rsidRDefault="00DB7AB2" w:rsidP="00DB7AB2">
      <w:pPr>
        <w:pStyle w:val="ListParagraph"/>
        <w:rPr>
          <w:b/>
          <w:bCs/>
        </w:rPr>
      </w:pPr>
    </w:p>
    <w:p w14:paraId="2C417F3B" w14:textId="27738A4A" w:rsidR="00DB7AB2" w:rsidRDefault="00CF52BF" w:rsidP="00CF52BF">
      <w:pPr>
        <w:rPr>
          <w:b/>
          <w:bCs/>
        </w:rPr>
      </w:pPr>
      <w:r>
        <w:rPr>
          <w:b/>
          <w:bCs/>
          <w:noProof/>
        </w:rPr>
        <w:drawing>
          <wp:inline distT="0" distB="0" distL="0" distR="0" wp14:anchorId="168D083C" wp14:editId="21E3C6EC">
            <wp:extent cx="3642360" cy="2364032"/>
            <wp:effectExtent l="0" t="0" r="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656438" cy="2373169"/>
                    </a:xfrm>
                    <a:prstGeom prst="rect">
                      <a:avLst/>
                    </a:prstGeom>
                  </pic:spPr>
                </pic:pic>
              </a:graphicData>
            </a:graphic>
          </wp:inline>
        </w:drawing>
      </w:r>
    </w:p>
    <w:p w14:paraId="4FE8F981" w14:textId="77777777" w:rsidR="00335BA8" w:rsidRPr="00CF52BF" w:rsidRDefault="00335BA8" w:rsidP="00CF52BF">
      <w:pPr>
        <w:rPr>
          <w:b/>
          <w:bCs/>
        </w:rPr>
      </w:pPr>
    </w:p>
    <w:p w14:paraId="48EBA08D" w14:textId="372C9991" w:rsidR="00335BA8" w:rsidRDefault="00335BA8" w:rsidP="00335BA8">
      <w:pPr>
        <w:pStyle w:val="ListParagraph"/>
      </w:pPr>
      <w:r>
        <w:t>This chart shows a</w:t>
      </w:r>
      <w:r w:rsidR="001212F9">
        <w:t xml:space="preserve"> very</w:t>
      </w:r>
      <w:r>
        <w:t xml:space="preserve"> strong positive correlation between Inflation rate and Gasoline prices in </w:t>
      </w:r>
      <w:r w:rsidR="00EF0887">
        <w:t>the US</w:t>
      </w:r>
      <w:r>
        <w:t>, an increase of inflation may increase the gasoline price or vice versa.</w:t>
      </w:r>
    </w:p>
    <w:p w14:paraId="078CB26D" w14:textId="77777777" w:rsidR="00B74E0C" w:rsidRPr="00335BA8" w:rsidRDefault="00B74E0C" w:rsidP="00335BA8">
      <w:pPr>
        <w:rPr>
          <w:b/>
          <w:bCs/>
        </w:rPr>
      </w:pPr>
    </w:p>
    <w:p w14:paraId="71ACD3BB" w14:textId="77777777" w:rsidR="008A339D" w:rsidRDefault="008A339D" w:rsidP="00AC7DD5"/>
    <w:p w14:paraId="222BE25F" w14:textId="4E19E5AF" w:rsidR="00B74E0C" w:rsidRDefault="00B74E0C" w:rsidP="00AC7DD5">
      <w:r>
        <w:rPr>
          <w:noProof/>
        </w:rPr>
        <w:drawing>
          <wp:inline distT="0" distB="0" distL="0" distR="0" wp14:anchorId="528D36C7" wp14:editId="4DD4E526">
            <wp:extent cx="3680460" cy="238876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693699" cy="2397353"/>
                    </a:xfrm>
                    <a:prstGeom prst="rect">
                      <a:avLst/>
                    </a:prstGeom>
                  </pic:spPr>
                </pic:pic>
              </a:graphicData>
            </a:graphic>
          </wp:inline>
        </w:drawing>
      </w:r>
    </w:p>
    <w:p w14:paraId="0849F5B8" w14:textId="77777777" w:rsidR="00EE2226" w:rsidRDefault="00EE2226" w:rsidP="00AC7DD5"/>
    <w:p w14:paraId="4B672D82" w14:textId="425EF394" w:rsidR="00EE2226" w:rsidRDefault="00EE2226" w:rsidP="00EE2226">
      <w:pPr>
        <w:pStyle w:val="ListParagraph"/>
      </w:pPr>
      <w:r>
        <w:lastRenderedPageBreak/>
        <w:t xml:space="preserve">This chart shows a </w:t>
      </w:r>
      <w:r w:rsidR="00C0122D">
        <w:t>moderate</w:t>
      </w:r>
      <w:r>
        <w:t xml:space="preserve"> negative correlation between Inflation rate and unemployment rate in </w:t>
      </w:r>
      <w:r w:rsidR="004A61B7">
        <w:t>the US</w:t>
      </w:r>
      <w:r>
        <w:t xml:space="preserve">, an increase of inflation may diminish the unemployment rate </w:t>
      </w:r>
      <w:r w:rsidR="00201702">
        <w:t xml:space="preserve">at a certain level </w:t>
      </w:r>
      <w:r>
        <w:t>or vice versa.</w:t>
      </w:r>
    </w:p>
    <w:p w14:paraId="5AF6DC1D" w14:textId="77777777" w:rsidR="00EE2226" w:rsidRDefault="00EE2226" w:rsidP="00FA7315">
      <w:pPr>
        <w:jc w:val="center"/>
      </w:pPr>
    </w:p>
    <w:p w14:paraId="7B6F3C92" w14:textId="08C370F9" w:rsidR="00426C35" w:rsidRPr="00FA7315" w:rsidRDefault="00FA7315" w:rsidP="00FA7315">
      <w:pPr>
        <w:pStyle w:val="ListParagraph"/>
        <w:numPr>
          <w:ilvl w:val="0"/>
          <w:numId w:val="7"/>
        </w:numPr>
        <w:jc w:val="center"/>
      </w:pPr>
      <w:r>
        <w:rPr>
          <w:b/>
          <w:bCs/>
        </w:rPr>
        <w:t>Monetary Base and Poland analysis.</w:t>
      </w:r>
    </w:p>
    <w:p w14:paraId="25B11553" w14:textId="77777777" w:rsidR="00FA7315" w:rsidRDefault="00FA7315" w:rsidP="00FA7315"/>
    <w:p w14:paraId="05719E33" w14:textId="335B8381" w:rsidR="00FA7315" w:rsidRPr="00FA7315" w:rsidRDefault="00FA7315" w:rsidP="00FA7315">
      <w:pPr>
        <w:pStyle w:val="ListParagraph"/>
        <w:numPr>
          <w:ilvl w:val="0"/>
          <w:numId w:val="7"/>
        </w:numPr>
        <w:rPr>
          <w:b/>
          <w:bCs/>
        </w:rPr>
      </w:pPr>
      <w:r w:rsidRPr="00FA7315">
        <w:rPr>
          <w:b/>
          <w:bCs/>
        </w:rPr>
        <w:t>Poland</w:t>
      </w:r>
    </w:p>
    <w:p w14:paraId="520E8F39" w14:textId="77777777" w:rsidR="008A339D" w:rsidRDefault="008A339D" w:rsidP="00AC7DD5"/>
    <w:p w14:paraId="0CE6042E" w14:textId="0B874150" w:rsidR="00D82246" w:rsidRDefault="00D95E43" w:rsidP="00AC7DD5">
      <w:r>
        <w:rPr>
          <w:noProof/>
        </w:rPr>
        <w:drawing>
          <wp:inline distT="0" distB="0" distL="0" distR="0" wp14:anchorId="5EE14E36" wp14:editId="24E56783">
            <wp:extent cx="5943600" cy="3857625"/>
            <wp:effectExtent l="0" t="0" r="0" b="9525"/>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3BD0926A" w14:textId="39006F0D" w:rsidR="00240ABE" w:rsidRDefault="00440A26" w:rsidP="007E0847">
      <w:r>
        <w:t>This</w:t>
      </w:r>
      <w:r w:rsidR="00ED58F4">
        <w:t xml:space="preserve"> chart shows</w:t>
      </w:r>
      <w:r w:rsidR="0087706B">
        <w:t xml:space="preserve"> the evolution of monetary supply</w:t>
      </w:r>
      <w:r w:rsidR="000D41A5">
        <w:t xml:space="preserve"> since January 2019 that has steadily increased since then</w:t>
      </w:r>
      <w:r w:rsidR="008E5FE0">
        <w:t xml:space="preserve">, highlighting </w:t>
      </w:r>
      <w:r w:rsidR="00557108">
        <w:t>the increase</w:t>
      </w:r>
      <w:r w:rsidR="00905C05">
        <w:t xml:space="preserve"> of M1</w:t>
      </w:r>
      <w:r w:rsidR="00B930AA">
        <w:t xml:space="preserve"> likely due t</w:t>
      </w:r>
      <w:r w:rsidR="009D5FAD">
        <w:t>o</w:t>
      </w:r>
      <w:r w:rsidR="00263F21">
        <w:t xml:space="preserve"> the pandemic stimulus where</w:t>
      </w:r>
      <w:r w:rsidR="00CA1473">
        <w:t xml:space="preserve"> the currency in circulation and overnight deposits</w:t>
      </w:r>
      <w:r w:rsidR="00EB3651">
        <w:t xml:space="preserve"> experienced </w:t>
      </w:r>
      <w:r w:rsidR="00400C81">
        <w:t>a considerable increase</w:t>
      </w:r>
      <w:r w:rsidR="00B95C5D">
        <w:t>, not prec</w:t>
      </w:r>
      <w:r w:rsidR="00EB2ACD">
        <w:t>isely due to the monetary base (M</w:t>
      </w:r>
      <w:r w:rsidR="00E04B28">
        <w:t>0)</w:t>
      </w:r>
      <w:r w:rsidR="00400C81">
        <w:t>.</w:t>
      </w:r>
      <w:r w:rsidR="00F71063">
        <w:t xml:space="preserve"> Therefore, M2 and M3 also experienced</w:t>
      </w:r>
      <w:r w:rsidR="009B3783">
        <w:t xml:space="preserve"> a continuous increase throughout the period.</w:t>
      </w:r>
    </w:p>
    <w:p w14:paraId="389F5809" w14:textId="77777777" w:rsidR="009B3783" w:rsidRDefault="009B3783" w:rsidP="007E0847"/>
    <w:p w14:paraId="4D555208" w14:textId="77777777" w:rsidR="009B3783" w:rsidRDefault="009B3783" w:rsidP="007E0847"/>
    <w:p w14:paraId="74B58495" w14:textId="6DF35A4B" w:rsidR="0010611E" w:rsidRDefault="0010611E" w:rsidP="007E0847"/>
    <w:p w14:paraId="758D3630" w14:textId="709ADD96" w:rsidR="00801B61" w:rsidRDefault="00CE67A2">
      <w:r>
        <w:rPr>
          <w:noProof/>
        </w:rPr>
        <w:lastRenderedPageBreak/>
        <w:drawing>
          <wp:inline distT="0" distB="0" distL="0" distR="0" wp14:anchorId="0033BB02" wp14:editId="67661295">
            <wp:extent cx="5585460" cy="3625178"/>
            <wp:effectExtent l="0" t="0" r="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590440" cy="3628411"/>
                    </a:xfrm>
                    <a:prstGeom prst="rect">
                      <a:avLst/>
                    </a:prstGeom>
                  </pic:spPr>
                </pic:pic>
              </a:graphicData>
            </a:graphic>
          </wp:inline>
        </w:drawing>
      </w:r>
    </w:p>
    <w:p w14:paraId="2D2FE814" w14:textId="0F003BFC" w:rsidR="00392343" w:rsidRDefault="00B5009C">
      <w:r>
        <w:t>The chart</w:t>
      </w:r>
      <w:r w:rsidR="00D3790D">
        <w:t xml:space="preserve"> shows that</w:t>
      </w:r>
      <w:r w:rsidR="00E96E2C">
        <w:t xml:space="preserve"> the exchange rate EUR/PLN has steadily increased</w:t>
      </w:r>
      <w:r w:rsidR="003728F4">
        <w:t xml:space="preserve"> throughout the period</w:t>
      </w:r>
      <w:r w:rsidR="0032388C">
        <w:t>, surpassing 4.7 PLN per EUR</w:t>
      </w:r>
      <w:r w:rsidR="00104518">
        <w:t xml:space="preserve"> in July 2022.</w:t>
      </w:r>
      <w:r w:rsidR="002D7034">
        <w:t xml:space="preserve"> However,</w:t>
      </w:r>
      <w:r w:rsidR="007C12C6">
        <w:t xml:space="preserve"> the</w:t>
      </w:r>
      <w:r w:rsidR="009503A9">
        <w:t xml:space="preserve"> devaluation started its path since January 2020</w:t>
      </w:r>
      <w:r w:rsidR="00676127">
        <w:t>, the same month where</w:t>
      </w:r>
      <w:r w:rsidR="00F32854">
        <w:t xml:space="preserve"> the amount of M1 in Poland accelerated its increase.</w:t>
      </w:r>
    </w:p>
    <w:p w14:paraId="7832F56B" w14:textId="77777777" w:rsidR="003B09F0" w:rsidRDefault="003B09F0"/>
    <w:p w14:paraId="2CC140F8" w14:textId="77777777" w:rsidR="00CD2250" w:rsidRDefault="00CD2250"/>
    <w:p w14:paraId="74C3E7CB" w14:textId="11041EC1" w:rsidR="00CD2250" w:rsidRDefault="00CD2250">
      <w:r>
        <w:rPr>
          <w:noProof/>
        </w:rPr>
        <w:drawing>
          <wp:inline distT="0" distB="0" distL="0" distR="0" wp14:anchorId="661C9F96" wp14:editId="48FDECB2">
            <wp:extent cx="3980010" cy="2583180"/>
            <wp:effectExtent l="0" t="0" r="1905" b="762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996240" cy="2593714"/>
                    </a:xfrm>
                    <a:prstGeom prst="rect">
                      <a:avLst/>
                    </a:prstGeom>
                  </pic:spPr>
                </pic:pic>
              </a:graphicData>
            </a:graphic>
          </wp:inline>
        </w:drawing>
      </w:r>
    </w:p>
    <w:p w14:paraId="43D8626E" w14:textId="39692C96" w:rsidR="00801B61" w:rsidRDefault="00801B61"/>
    <w:p w14:paraId="45AC7205" w14:textId="7F8CBBEA" w:rsidR="003B09F0" w:rsidRDefault="003B09F0" w:rsidP="003B09F0">
      <w:pPr>
        <w:pStyle w:val="ListParagraph"/>
      </w:pPr>
      <w:r>
        <w:lastRenderedPageBreak/>
        <w:t xml:space="preserve">This chart shows a strong positive correlation between </w:t>
      </w:r>
      <w:r w:rsidR="00DB5EE7">
        <w:t>EUR/PLN exchange rate</w:t>
      </w:r>
      <w:r>
        <w:t xml:space="preserve"> and </w:t>
      </w:r>
      <w:r w:rsidR="00864CFA">
        <w:t>inflation</w:t>
      </w:r>
      <w:r w:rsidR="00B67610">
        <w:t xml:space="preserve"> rate</w:t>
      </w:r>
      <w:r w:rsidR="00864CFA">
        <w:t xml:space="preserve"> in</w:t>
      </w:r>
      <w:r>
        <w:t xml:space="preserve"> </w:t>
      </w:r>
      <w:r w:rsidR="00864CFA">
        <w:t>Poland</w:t>
      </w:r>
      <w:r>
        <w:t xml:space="preserve">, an increase of inflation may </w:t>
      </w:r>
      <w:r w:rsidR="001D258D">
        <w:t>originate devaluation</w:t>
      </w:r>
      <w:r w:rsidR="006C1CA3">
        <w:t xml:space="preserve"> of exchange rate</w:t>
      </w:r>
      <w:r>
        <w:t xml:space="preserve"> or vice versa.</w:t>
      </w:r>
    </w:p>
    <w:p w14:paraId="798FDCB4" w14:textId="77777777" w:rsidR="00CD2250" w:rsidRDefault="00CD2250"/>
    <w:p w14:paraId="4ABD5478" w14:textId="77777777" w:rsidR="008823CB" w:rsidRDefault="008823CB"/>
    <w:p w14:paraId="2A23EE4D" w14:textId="50D92645" w:rsidR="008823CB" w:rsidRPr="0096246E" w:rsidRDefault="009C66A5" w:rsidP="00BB75FD">
      <w:pPr>
        <w:pStyle w:val="ListParagraph"/>
        <w:numPr>
          <w:ilvl w:val="0"/>
          <w:numId w:val="8"/>
        </w:numPr>
      </w:pPr>
      <w:r>
        <w:rPr>
          <w:b/>
          <w:bCs/>
        </w:rPr>
        <w:t>Monetary Supply in United States and Eurozone</w:t>
      </w:r>
    </w:p>
    <w:p w14:paraId="69053411" w14:textId="77777777" w:rsidR="0096246E" w:rsidRDefault="0096246E" w:rsidP="0096246E"/>
    <w:p w14:paraId="253B0DC9" w14:textId="2F3C896C" w:rsidR="0096246E" w:rsidRDefault="00B85483" w:rsidP="0096246E">
      <w:r>
        <w:rPr>
          <w:noProof/>
        </w:rPr>
        <w:drawing>
          <wp:inline distT="0" distB="0" distL="0" distR="0" wp14:anchorId="4070C947" wp14:editId="4A4CF1A9">
            <wp:extent cx="5295900" cy="3437243"/>
            <wp:effectExtent l="0" t="0" r="0" b="0"/>
            <wp:docPr id="45" name="Picture 4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302876" cy="3441771"/>
                    </a:xfrm>
                    <a:prstGeom prst="rect">
                      <a:avLst/>
                    </a:prstGeom>
                  </pic:spPr>
                </pic:pic>
              </a:graphicData>
            </a:graphic>
          </wp:inline>
        </w:drawing>
      </w:r>
    </w:p>
    <w:p w14:paraId="64688D95" w14:textId="131EC2E2" w:rsidR="00AC69D1" w:rsidRDefault="00AC69D1" w:rsidP="00AC69D1">
      <w:r>
        <w:t xml:space="preserve">This chart shows the evolution of monetary supply since January 2019 that has steadily increased since then, highlighting the increase of M1 likely due to the pandemic stimulus where the currency in circulation and overnight deposits experienced a considerable increase, </w:t>
      </w:r>
      <w:r w:rsidR="00F53CB6">
        <w:t>specifically in the</w:t>
      </w:r>
      <w:r w:rsidR="009435B5">
        <w:t xml:space="preserve"> first quarter of</w:t>
      </w:r>
      <w:r w:rsidR="00B54D06">
        <w:t xml:space="preserve"> 2020.</w:t>
      </w:r>
      <w:r>
        <w:t xml:space="preserve"> Therefore, M2 and M3 also experienced a </w:t>
      </w:r>
      <w:r w:rsidR="00B904C0">
        <w:t>proportioned</w:t>
      </w:r>
      <w:r>
        <w:t xml:space="preserve"> increase throughout the period</w:t>
      </w:r>
      <w:r w:rsidR="006321A0">
        <w:t xml:space="preserve"> that could have originated the inflation rally</w:t>
      </w:r>
    </w:p>
    <w:p w14:paraId="7D3DF34F" w14:textId="77777777" w:rsidR="00B85483" w:rsidRDefault="00B85483" w:rsidP="0096246E"/>
    <w:p w14:paraId="125A8BE3" w14:textId="5F60205C" w:rsidR="00B85483" w:rsidRDefault="00B85483" w:rsidP="0096246E">
      <w:r>
        <w:rPr>
          <w:noProof/>
        </w:rPr>
        <w:lastRenderedPageBreak/>
        <w:drawing>
          <wp:inline distT="0" distB="0" distL="0" distR="0" wp14:anchorId="05C66548" wp14:editId="61CD49D7">
            <wp:extent cx="4884420" cy="3170176"/>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889882" cy="3173721"/>
                    </a:xfrm>
                    <a:prstGeom prst="rect">
                      <a:avLst/>
                    </a:prstGeom>
                  </pic:spPr>
                </pic:pic>
              </a:graphicData>
            </a:graphic>
          </wp:inline>
        </w:drawing>
      </w:r>
    </w:p>
    <w:p w14:paraId="2AA42F43" w14:textId="1500012C" w:rsidR="00475981" w:rsidRDefault="00475981" w:rsidP="00475981">
      <w:r>
        <w:t xml:space="preserve">This chart shows the evolution of monetary supply since January 2019 that has steadily increased since then, highlighting the </w:t>
      </w:r>
      <w:r w:rsidR="00864BCD">
        <w:t>outstanding</w:t>
      </w:r>
      <w:r w:rsidR="00787DC0">
        <w:t xml:space="preserve"> </w:t>
      </w:r>
      <w:r>
        <w:t xml:space="preserve">increase of M1 likely due to the pandemic stimulus </w:t>
      </w:r>
      <w:r w:rsidR="00716DEC">
        <w:t>during the second quarter of 2020</w:t>
      </w:r>
      <w:r w:rsidR="00751E31">
        <w:t xml:space="preserve"> where the </w:t>
      </w:r>
      <w:r w:rsidR="001A1C99">
        <w:t>number</w:t>
      </w:r>
      <w:r w:rsidR="00751E31">
        <w:t xml:space="preserve"> of</w:t>
      </w:r>
      <w:r>
        <w:t xml:space="preserve"> deposits </w:t>
      </w:r>
      <w:r w:rsidR="00751E31">
        <w:t xml:space="preserve">and other liquid deposits </w:t>
      </w:r>
      <w:r>
        <w:t xml:space="preserve">experienced a considerable increase. </w:t>
      </w:r>
      <w:r w:rsidR="00270BB2">
        <w:t xml:space="preserve">However, the increase of M2 was not proportionate to </w:t>
      </w:r>
      <w:r w:rsidR="00BB6D5E">
        <w:t>M1</w:t>
      </w:r>
      <w:r w:rsidR="004A0BA0">
        <w:t xml:space="preserve">, therefore, the increase of M1 </w:t>
      </w:r>
      <w:r w:rsidR="00DB3886">
        <w:t>might be the cause that explain</w:t>
      </w:r>
      <w:r w:rsidR="00E96839">
        <w:t>s</w:t>
      </w:r>
      <w:r w:rsidR="00DB3886">
        <w:t xml:space="preserve"> the inflation rally in the USA</w:t>
      </w:r>
    </w:p>
    <w:p w14:paraId="0A9D5CA5" w14:textId="77777777" w:rsidR="00B85483" w:rsidRDefault="00B85483" w:rsidP="0096246E"/>
    <w:p w14:paraId="1FF14366" w14:textId="181CC958" w:rsidR="00E1510D" w:rsidRDefault="00E1510D" w:rsidP="0096246E"/>
    <w:sectPr w:rsidR="00E151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2EC2B" w14:textId="77777777" w:rsidR="00867C78" w:rsidRDefault="00867C78" w:rsidP="00A91CF6">
      <w:pPr>
        <w:spacing w:after="0" w:line="240" w:lineRule="auto"/>
      </w:pPr>
      <w:r>
        <w:separator/>
      </w:r>
    </w:p>
  </w:endnote>
  <w:endnote w:type="continuationSeparator" w:id="0">
    <w:p w14:paraId="4AEE6AF3" w14:textId="77777777" w:rsidR="00867C78" w:rsidRDefault="00867C78" w:rsidP="00A9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470C4" w14:textId="77777777" w:rsidR="00867C78" w:rsidRDefault="00867C78" w:rsidP="00A91CF6">
      <w:pPr>
        <w:spacing w:after="0" w:line="240" w:lineRule="auto"/>
      </w:pPr>
      <w:r>
        <w:separator/>
      </w:r>
    </w:p>
  </w:footnote>
  <w:footnote w:type="continuationSeparator" w:id="0">
    <w:p w14:paraId="1AF8156E" w14:textId="77777777" w:rsidR="00867C78" w:rsidRDefault="00867C78" w:rsidP="00A91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283D"/>
    <w:multiLevelType w:val="hybridMultilevel"/>
    <w:tmpl w:val="C8D8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C23ED"/>
    <w:multiLevelType w:val="hybridMultilevel"/>
    <w:tmpl w:val="6ECADF44"/>
    <w:lvl w:ilvl="0" w:tplc="3C0C207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7D7D0E"/>
    <w:multiLevelType w:val="hybridMultilevel"/>
    <w:tmpl w:val="9474B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66EA2"/>
    <w:multiLevelType w:val="hybridMultilevel"/>
    <w:tmpl w:val="66E2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D2783"/>
    <w:multiLevelType w:val="hybridMultilevel"/>
    <w:tmpl w:val="0684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7383B"/>
    <w:multiLevelType w:val="hybridMultilevel"/>
    <w:tmpl w:val="55D6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9710C"/>
    <w:multiLevelType w:val="hybridMultilevel"/>
    <w:tmpl w:val="5BE4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A296A"/>
    <w:multiLevelType w:val="hybridMultilevel"/>
    <w:tmpl w:val="CD56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588011">
    <w:abstractNumId w:val="4"/>
  </w:num>
  <w:num w:numId="2" w16cid:durableId="133648534">
    <w:abstractNumId w:val="5"/>
  </w:num>
  <w:num w:numId="3" w16cid:durableId="1819572130">
    <w:abstractNumId w:val="6"/>
  </w:num>
  <w:num w:numId="4" w16cid:durableId="1972319279">
    <w:abstractNumId w:val="1"/>
  </w:num>
  <w:num w:numId="5" w16cid:durableId="2078092892">
    <w:abstractNumId w:val="2"/>
  </w:num>
  <w:num w:numId="6" w16cid:durableId="1379402075">
    <w:abstractNumId w:val="3"/>
  </w:num>
  <w:num w:numId="7" w16cid:durableId="840585210">
    <w:abstractNumId w:val="7"/>
  </w:num>
  <w:num w:numId="8" w16cid:durableId="55184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76"/>
    <w:rsid w:val="0000231F"/>
    <w:rsid w:val="00004FA4"/>
    <w:rsid w:val="00013E05"/>
    <w:rsid w:val="00014771"/>
    <w:rsid w:val="0001707D"/>
    <w:rsid w:val="0002251A"/>
    <w:rsid w:val="00036A0A"/>
    <w:rsid w:val="000435D9"/>
    <w:rsid w:val="00046BEF"/>
    <w:rsid w:val="0005009E"/>
    <w:rsid w:val="000524EC"/>
    <w:rsid w:val="0005545A"/>
    <w:rsid w:val="000742BB"/>
    <w:rsid w:val="00075551"/>
    <w:rsid w:val="00080183"/>
    <w:rsid w:val="0008578D"/>
    <w:rsid w:val="000B3F20"/>
    <w:rsid w:val="000C163B"/>
    <w:rsid w:val="000C42B2"/>
    <w:rsid w:val="000C65D2"/>
    <w:rsid w:val="000D33DF"/>
    <w:rsid w:val="000D41A5"/>
    <w:rsid w:val="00104518"/>
    <w:rsid w:val="0010611E"/>
    <w:rsid w:val="00112034"/>
    <w:rsid w:val="00120B28"/>
    <w:rsid w:val="001212F9"/>
    <w:rsid w:val="00126D90"/>
    <w:rsid w:val="00135F5F"/>
    <w:rsid w:val="00137096"/>
    <w:rsid w:val="00140098"/>
    <w:rsid w:val="00141D3C"/>
    <w:rsid w:val="00143FB0"/>
    <w:rsid w:val="001453AD"/>
    <w:rsid w:val="0014696A"/>
    <w:rsid w:val="0014774E"/>
    <w:rsid w:val="00151535"/>
    <w:rsid w:val="00151C2F"/>
    <w:rsid w:val="00152B57"/>
    <w:rsid w:val="001539F2"/>
    <w:rsid w:val="0016104A"/>
    <w:rsid w:val="0016181D"/>
    <w:rsid w:val="00162A5F"/>
    <w:rsid w:val="00171995"/>
    <w:rsid w:val="001826CD"/>
    <w:rsid w:val="00182AC7"/>
    <w:rsid w:val="00190BDC"/>
    <w:rsid w:val="00192C8D"/>
    <w:rsid w:val="001A13B7"/>
    <w:rsid w:val="001A1C99"/>
    <w:rsid w:val="001A64D9"/>
    <w:rsid w:val="001C1B98"/>
    <w:rsid w:val="001C282F"/>
    <w:rsid w:val="001C52DC"/>
    <w:rsid w:val="001D258D"/>
    <w:rsid w:val="001D28CE"/>
    <w:rsid w:val="001D3696"/>
    <w:rsid w:val="001D637C"/>
    <w:rsid w:val="001D7126"/>
    <w:rsid w:val="001E1134"/>
    <w:rsid w:val="001E2262"/>
    <w:rsid w:val="001E588D"/>
    <w:rsid w:val="001E5AD7"/>
    <w:rsid w:val="001E60A8"/>
    <w:rsid w:val="001E7E83"/>
    <w:rsid w:val="00201702"/>
    <w:rsid w:val="00221AA0"/>
    <w:rsid w:val="00230CF1"/>
    <w:rsid w:val="00236BA4"/>
    <w:rsid w:val="00240ABE"/>
    <w:rsid w:val="00246E36"/>
    <w:rsid w:val="00247421"/>
    <w:rsid w:val="002571CE"/>
    <w:rsid w:val="00262B82"/>
    <w:rsid w:val="00263F21"/>
    <w:rsid w:val="00266DC1"/>
    <w:rsid w:val="00266F72"/>
    <w:rsid w:val="0026750D"/>
    <w:rsid w:val="00270BB2"/>
    <w:rsid w:val="0028154E"/>
    <w:rsid w:val="002827B3"/>
    <w:rsid w:val="002844AA"/>
    <w:rsid w:val="0028693E"/>
    <w:rsid w:val="00287340"/>
    <w:rsid w:val="00287391"/>
    <w:rsid w:val="002A7122"/>
    <w:rsid w:val="002B39DF"/>
    <w:rsid w:val="002C0961"/>
    <w:rsid w:val="002C2FEE"/>
    <w:rsid w:val="002D3E62"/>
    <w:rsid w:val="002D7034"/>
    <w:rsid w:val="002E5483"/>
    <w:rsid w:val="002F11AB"/>
    <w:rsid w:val="002F12B0"/>
    <w:rsid w:val="002F36C5"/>
    <w:rsid w:val="0031706E"/>
    <w:rsid w:val="0032388C"/>
    <w:rsid w:val="00334C19"/>
    <w:rsid w:val="00335BA8"/>
    <w:rsid w:val="0033772B"/>
    <w:rsid w:val="00342FCE"/>
    <w:rsid w:val="0034712B"/>
    <w:rsid w:val="003728F4"/>
    <w:rsid w:val="0038131B"/>
    <w:rsid w:val="00392343"/>
    <w:rsid w:val="00392C14"/>
    <w:rsid w:val="00395A81"/>
    <w:rsid w:val="00395C4B"/>
    <w:rsid w:val="00397899"/>
    <w:rsid w:val="003B09F0"/>
    <w:rsid w:val="003B312C"/>
    <w:rsid w:val="003B72A1"/>
    <w:rsid w:val="003D2C61"/>
    <w:rsid w:val="003D56AD"/>
    <w:rsid w:val="003D7F7B"/>
    <w:rsid w:val="003F7043"/>
    <w:rsid w:val="00400C81"/>
    <w:rsid w:val="00400EA4"/>
    <w:rsid w:val="00401A7E"/>
    <w:rsid w:val="00410F98"/>
    <w:rsid w:val="0041264F"/>
    <w:rsid w:val="0041332D"/>
    <w:rsid w:val="00426C35"/>
    <w:rsid w:val="00426F32"/>
    <w:rsid w:val="004302C5"/>
    <w:rsid w:val="00430FAC"/>
    <w:rsid w:val="00440A26"/>
    <w:rsid w:val="004453A4"/>
    <w:rsid w:val="004466B8"/>
    <w:rsid w:val="00456EBD"/>
    <w:rsid w:val="0046183F"/>
    <w:rsid w:val="004649CE"/>
    <w:rsid w:val="00475981"/>
    <w:rsid w:val="004831EA"/>
    <w:rsid w:val="00484F42"/>
    <w:rsid w:val="00491617"/>
    <w:rsid w:val="00493386"/>
    <w:rsid w:val="004A0BA0"/>
    <w:rsid w:val="004A61B7"/>
    <w:rsid w:val="004B25EE"/>
    <w:rsid w:val="004B2F2C"/>
    <w:rsid w:val="004C33F8"/>
    <w:rsid w:val="004E7CEE"/>
    <w:rsid w:val="004F0353"/>
    <w:rsid w:val="004F3EF8"/>
    <w:rsid w:val="00511E95"/>
    <w:rsid w:val="00515226"/>
    <w:rsid w:val="00522630"/>
    <w:rsid w:val="005236D9"/>
    <w:rsid w:val="0053728A"/>
    <w:rsid w:val="00540F93"/>
    <w:rsid w:val="00550193"/>
    <w:rsid w:val="00557108"/>
    <w:rsid w:val="00576106"/>
    <w:rsid w:val="00581A5F"/>
    <w:rsid w:val="00582143"/>
    <w:rsid w:val="0058404E"/>
    <w:rsid w:val="005846CC"/>
    <w:rsid w:val="005872E7"/>
    <w:rsid w:val="005977B3"/>
    <w:rsid w:val="005A413E"/>
    <w:rsid w:val="005A7CB3"/>
    <w:rsid w:val="005C52BF"/>
    <w:rsid w:val="005D130C"/>
    <w:rsid w:val="005D28B2"/>
    <w:rsid w:val="005D5B39"/>
    <w:rsid w:val="005E134B"/>
    <w:rsid w:val="005E3113"/>
    <w:rsid w:val="005E5DB2"/>
    <w:rsid w:val="005F1360"/>
    <w:rsid w:val="005F2B48"/>
    <w:rsid w:val="006203AC"/>
    <w:rsid w:val="00622E07"/>
    <w:rsid w:val="006321A0"/>
    <w:rsid w:val="00634C82"/>
    <w:rsid w:val="0063599E"/>
    <w:rsid w:val="00645315"/>
    <w:rsid w:val="00645CDF"/>
    <w:rsid w:val="006658E4"/>
    <w:rsid w:val="006753AC"/>
    <w:rsid w:val="0067555C"/>
    <w:rsid w:val="00676127"/>
    <w:rsid w:val="006765B3"/>
    <w:rsid w:val="00677385"/>
    <w:rsid w:val="00682189"/>
    <w:rsid w:val="006A18DD"/>
    <w:rsid w:val="006A2130"/>
    <w:rsid w:val="006A36C1"/>
    <w:rsid w:val="006A41EB"/>
    <w:rsid w:val="006A5DFB"/>
    <w:rsid w:val="006B5356"/>
    <w:rsid w:val="006B6A0D"/>
    <w:rsid w:val="006C1CA3"/>
    <w:rsid w:val="006D2023"/>
    <w:rsid w:val="006D33FB"/>
    <w:rsid w:val="006D5E14"/>
    <w:rsid w:val="006F126D"/>
    <w:rsid w:val="006F5DBE"/>
    <w:rsid w:val="00701AAF"/>
    <w:rsid w:val="007041BB"/>
    <w:rsid w:val="007118F2"/>
    <w:rsid w:val="00716DEC"/>
    <w:rsid w:val="007232A8"/>
    <w:rsid w:val="00726709"/>
    <w:rsid w:val="00732EBF"/>
    <w:rsid w:val="00737766"/>
    <w:rsid w:val="0074584D"/>
    <w:rsid w:val="00745EA7"/>
    <w:rsid w:val="007467C8"/>
    <w:rsid w:val="00751E31"/>
    <w:rsid w:val="00752B88"/>
    <w:rsid w:val="00756330"/>
    <w:rsid w:val="00757115"/>
    <w:rsid w:val="007619E8"/>
    <w:rsid w:val="00764152"/>
    <w:rsid w:val="0076542A"/>
    <w:rsid w:val="007706D8"/>
    <w:rsid w:val="00775FBC"/>
    <w:rsid w:val="00782065"/>
    <w:rsid w:val="00782D76"/>
    <w:rsid w:val="00787DC0"/>
    <w:rsid w:val="00796975"/>
    <w:rsid w:val="00796F95"/>
    <w:rsid w:val="007A276D"/>
    <w:rsid w:val="007A51E0"/>
    <w:rsid w:val="007A6726"/>
    <w:rsid w:val="007C12C6"/>
    <w:rsid w:val="007C6219"/>
    <w:rsid w:val="007D0C47"/>
    <w:rsid w:val="007D4D2B"/>
    <w:rsid w:val="007D5FF6"/>
    <w:rsid w:val="007E0847"/>
    <w:rsid w:val="007E2C22"/>
    <w:rsid w:val="007E4DC8"/>
    <w:rsid w:val="007F15AB"/>
    <w:rsid w:val="007F4049"/>
    <w:rsid w:val="00801B61"/>
    <w:rsid w:val="00805E10"/>
    <w:rsid w:val="008071BE"/>
    <w:rsid w:val="008132E9"/>
    <w:rsid w:val="0082080D"/>
    <w:rsid w:val="00824860"/>
    <w:rsid w:val="00832154"/>
    <w:rsid w:val="00837C5A"/>
    <w:rsid w:val="00842D80"/>
    <w:rsid w:val="0085723D"/>
    <w:rsid w:val="008579C3"/>
    <w:rsid w:val="00864BCD"/>
    <w:rsid w:val="00864CFA"/>
    <w:rsid w:val="00867C78"/>
    <w:rsid w:val="008720A0"/>
    <w:rsid w:val="00872EFC"/>
    <w:rsid w:val="00875ADA"/>
    <w:rsid w:val="0087706B"/>
    <w:rsid w:val="00877430"/>
    <w:rsid w:val="00877BD1"/>
    <w:rsid w:val="008823CB"/>
    <w:rsid w:val="00887D23"/>
    <w:rsid w:val="008922E9"/>
    <w:rsid w:val="00892E52"/>
    <w:rsid w:val="00894293"/>
    <w:rsid w:val="008A339D"/>
    <w:rsid w:val="008A639A"/>
    <w:rsid w:val="008B12EA"/>
    <w:rsid w:val="008B1E8E"/>
    <w:rsid w:val="008B3025"/>
    <w:rsid w:val="008C0CB2"/>
    <w:rsid w:val="008D2721"/>
    <w:rsid w:val="008D3496"/>
    <w:rsid w:val="008E5FE0"/>
    <w:rsid w:val="009016D4"/>
    <w:rsid w:val="00902850"/>
    <w:rsid w:val="00905C05"/>
    <w:rsid w:val="00914F5D"/>
    <w:rsid w:val="00926FD2"/>
    <w:rsid w:val="009278A6"/>
    <w:rsid w:val="00930EF3"/>
    <w:rsid w:val="00941307"/>
    <w:rsid w:val="009435B5"/>
    <w:rsid w:val="00947152"/>
    <w:rsid w:val="009503A9"/>
    <w:rsid w:val="00950A8D"/>
    <w:rsid w:val="00955613"/>
    <w:rsid w:val="0095761F"/>
    <w:rsid w:val="00960C6F"/>
    <w:rsid w:val="0096246E"/>
    <w:rsid w:val="009659DB"/>
    <w:rsid w:val="00972C8D"/>
    <w:rsid w:val="009828E6"/>
    <w:rsid w:val="0099137C"/>
    <w:rsid w:val="00994335"/>
    <w:rsid w:val="00997612"/>
    <w:rsid w:val="009B26F4"/>
    <w:rsid w:val="009B3783"/>
    <w:rsid w:val="009B6A18"/>
    <w:rsid w:val="009B7DC0"/>
    <w:rsid w:val="009C1F68"/>
    <w:rsid w:val="009C4283"/>
    <w:rsid w:val="009C66A5"/>
    <w:rsid w:val="009D5FAD"/>
    <w:rsid w:val="009F3758"/>
    <w:rsid w:val="009F402E"/>
    <w:rsid w:val="009F7131"/>
    <w:rsid w:val="009F79FE"/>
    <w:rsid w:val="00A05B4D"/>
    <w:rsid w:val="00A17A39"/>
    <w:rsid w:val="00A22420"/>
    <w:rsid w:val="00A22FBB"/>
    <w:rsid w:val="00A32E57"/>
    <w:rsid w:val="00A5352F"/>
    <w:rsid w:val="00A53DC9"/>
    <w:rsid w:val="00A56342"/>
    <w:rsid w:val="00A64ADA"/>
    <w:rsid w:val="00A64B7F"/>
    <w:rsid w:val="00A65597"/>
    <w:rsid w:val="00A84096"/>
    <w:rsid w:val="00A85EA4"/>
    <w:rsid w:val="00A8656E"/>
    <w:rsid w:val="00A91CF6"/>
    <w:rsid w:val="00AA06D5"/>
    <w:rsid w:val="00AA3125"/>
    <w:rsid w:val="00AB127B"/>
    <w:rsid w:val="00AC69D1"/>
    <w:rsid w:val="00AC7DD5"/>
    <w:rsid w:val="00AD3E5E"/>
    <w:rsid w:val="00AE26B6"/>
    <w:rsid w:val="00AE2DA8"/>
    <w:rsid w:val="00AE3C98"/>
    <w:rsid w:val="00AE5001"/>
    <w:rsid w:val="00AE74AC"/>
    <w:rsid w:val="00AF0319"/>
    <w:rsid w:val="00AF1BDF"/>
    <w:rsid w:val="00AF4911"/>
    <w:rsid w:val="00AF520D"/>
    <w:rsid w:val="00B0263C"/>
    <w:rsid w:val="00B0292C"/>
    <w:rsid w:val="00B0547C"/>
    <w:rsid w:val="00B2359A"/>
    <w:rsid w:val="00B242E4"/>
    <w:rsid w:val="00B5009C"/>
    <w:rsid w:val="00B54D06"/>
    <w:rsid w:val="00B5671E"/>
    <w:rsid w:val="00B62B19"/>
    <w:rsid w:val="00B650EB"/>
    <w:rsid w:val="00B652F3"/>
    <w:rsid w:val="00B67610"/>
    <w:rsid w:val="00B70614"/>
    <w:rsid w:val="00B71896"/>
    <w:rsid w:val="00B7402B"/>
    <w:rsid w:val="00B74E0C"/>
    <w:rsid w:val="00B77A4F"/>
    <w:rsid w:val="00B8029B"/>
    <w:rsid w:val="00B8265D"/>
    <w:rsid w:val="00B85483"/>
    <w:rsid w:val="00B86BCE"/>
    <w:rsid w:val="00B8736C"/>
    <w:rsid w:val="00B874F3"/>
    <w:rsid w:val="00B904C0"/>
    <w:rsid w:val="00B930AA"/>
    <w:rsid w:val="00B95C5D"/>
    <w:rsid w:val="00BA30D6"/>
    <w:rsid w:val="00BA4138"/>
    <w:rsid w:val="00BB6957"/>
    <w:rsid w:val="00BB6D5E"/>
    <w:rsid w:val="00BB75FD"/>
    <w:rsid w:val="00BC2328"/>
    <w:rsid w:val="00BC2644"/>
    <w:rsid w:val="00BC5475"/>
    <w:rsid w:val="00BD34A0"/>
    <w:rsid w:val="00BE571C"/>
    <w:rsid w:val="00C0122D"/>
    <w:rsid w:val="00C02E2B"/>
    <w:rsid w:val="00C07355"/>
    <w:rsid w:val="00C133AD"/>
    <w:rsid w:val="00C14A5F"/>
    <w:rsid w:val="00C164EA"/>
    <w:rsid w:val="00C23D0C"/>
    <w:rsid w:val="00C34021"/>
    <w:rsid w:val="00C34DD4"/>
    <w:rsid w:val="00C411DF"/>
    <w:rsid w:val="00C45367"/>
    <w:rsid w:val="00C510DB"/>
    <w:rsid w:val="00C524A5"/>
    <w:rsid w:val="00C64F29"/>
    <w:rsid w:val="00C70399"/>
    <w:rsid w:val="00C70D76"/>
    <w:rsid w:val="00C76058"/>
    <w:rsid w:val="00C7608D"/>
    <w:rsid w:val="00C815AF"/>
    <w:rsid w:val="00C8780C"/>
    <w:rsid w:val="00C87B4B"/>
    <w:rsid w:val="00C87DEE"/>
    <w:rsid w:val="00C905D7"/>
    <w:rsid w:val="00C91699"/>
    <w:rsid w:val="00C956C8"/>
    <w:rsid w:val="00CA1473"/>
    <w:rsid w:val="00CB5B0F"/>
    <w:rsid w:val="00CC1789"/>
    <w:rsid w:val="00CC3F21"/>
    <w:rsid w:val="00CC6405"/>
    <w:rsid w:val="00CC7484"/>
    <w:rsid w:val="00CD2228"/>
    <w:rsid w:val="00CD2250"/>
    <w:rsid w:val="00CD4B01"/>
    <w:rsid w:val="00CD7104"/>
    <w:rsid w:val="00CE67A2"/>
    <w:rsid w:val="00CF52BF"/>
    <w:rsid w:val="00D14560"/>
    <w:rsid w:val="00D15C73"/>
    <w:rsid w:val="00D17142"/>
    <w:rsid w:val="00D1717C"/>
    <w:rsid w:val="00D17BC2"/>
    <w:rsid w:val="00D265D7"/>
    <w:rsid w:val="00D26A1C"/>
    <w:rsid w:val="00D33491"/>
    <w:rsid w:val="00D33AEB"/>
    <w:rsid w:val="00D36AC8"/>
    <w:rsid w:val="00D3790D"/>
    <w:rsid w:val="00D37C49"/>
    <w:rsid w:val="00D463A6"/>
    <w:rsid w:val="00D566C7"/>
    <w:rsid w:val="00D57665"/>
    <w:rsid w:val="00D61186"/>
    <w:rsid w:val="00D64D4E"/>
    <w:rsid w:val="00D66176"/>
    <w:rsid w:val="00D7620E"/>
    <w:rsid w:val="00D82246"/>
    <w:rsid w:val="00D918B5"/>
    <w:rsid w:val="00D926B1"/>
    <w:rsid w:val="00D92A12"/>
    <w:rsid w:val="00D94532"/>
    <w:rsid w:val="00D95E43"/>
    <w:rsid w:val="00D97922"/>
    <w:rsid w:val="00DB1F5F"/>
    <w:rsid w:val="00DB3871"/>
    <w:rsid w:val="00DB3886"/>
    <w:rsid w:val="00DB3EC1"/>
    <w:rsid w:val="00DB5EE7"/>
    <w:rsid w:val="00DB7AB2"/>
    <w:rsid w:val="00DC113B"/>
    <w:rsid w:val="00DC60D1"/>
    <w:rsid w:val="00DC6420"/>
    <w:rsid w:val="00DE11FC"/>
    <w:rsid w:val="00DE2F5F"/>
    <w:rsid w:val="00DF41E7"/>
    <w:rsid w:val="00DF4FEC"/>
    <w:rsid w:val="00DF59F0"/>
    <w:rsid w:val="00E01F64"/>
    <w:rsid w:val="00E02601"/>
    <w:rsid w:val="00E04B28"/>
    <w:rsid w:val="00E07265"/>
    <w:rsid w:val="00E1510D"/>
    <w:rsid w:val="00E20D10"/>
    <w:rsid w:val="00E23166"/>
    <w:rsid w:val="00E31091"/>
    <w:rsid w:val="00E33D3D"/>
    <w:rsid w:val="00E52DA2"/>
    <w:rsid w:val="00E53F6A"/>
    <w:rsid w:val="00E601BA"/>
    <w:rsid w:val="00E627A6"/>
    <w:rsid w:val="00E64A07"/>
    <w:rsid w:val="00E664C0"/>
    <w:rsid w:val="00E673AE"/>
    <w:rsid w:val="00E67F41"/>
    <w:rsid w:val="00E8025F"/>
    <w:rsid w:val="00E910E5"/>
    <w:rsid w:val="00E940DD"/>
    <w:rsid w:val="00E96839"/>
    <w:rsid w:val="00E96E2C"/>
    <w:rsid w:val="00EA6931"/>
    <w:rsid w:val="00EB1921"/>
    <w:rsid w:val="00EB2ACD"/>
    <w:rsid w:val="00EB3651"/>
    <w:rsid w:val="00EB41AF"/>
    <w:rsid w:val="00EC21D9"/>
    <w:rsid w:val="00EC4EEB"/>
    <w:rsid w:val="00EC71D7"/>
    <w:rsid w:val="00ED1195"/>
    <w:rsid w:val="00ED53FD"/>
    <w:rsid w:val="00ED58F4"/>
    <w:rsid w:val="00EE16C2"/>
    <w:rsid w:val="00EE2226"/>
    <w:rsid w:val="00EE4B72"/>
    <w:rsid w:val="00EF0887"/>
    <w:rsid w:val="00EF2643"/>
    <w:rsid w:val="00EF69CD"/>
    <w:rsid w:val="00F12176"/>
    <w:rsid w:val="00F22A16"/>
    <w:rsid w:val="00F241E5"/>
    <w:rsid w:val="00F24ED1"/>
    <w:rsid w:val="00F32854"/>
    <w:rsid w:val="00F33B32"/>
    <w:rsid w:val="00F36E8B"/>
    <w:rsid w:val="00F37848"/>
    <w:rsid w:val="00F441E7"/>
    <w:rsid w:val="00F53CB6"/>
    <w:rsid w:val="00F56B7E"/>
    <w:rsid w:val="00F613D5"/>
    <w:rsid w:val="00F62242"/>
    <w:rsid w:val="00F66144"/>
    <w:rsid w:val="00F71063"/>
    <w:rsid w:val="00F764D0"/>
    <w:rsid w:val="00F806FD"/>
    <w:rsid w:val="00F80B68"/>
    <w:rsid w:val="00F81544"/>
    <w:rsid w:val="00FA51FC"/>
    <w:rsid w:val="00FA7315"/>
    <w:rsid w:val="00FC794F"/>
    <w:rsid w:val="00FD1C64"/>
    <w:rsid w:val="00FD39AD"/>
    <w:rsid w:val="00FD3C94"/>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BC42"/>
  <w15:chartTrackingRefBased/>
  <w15:docId w15:val="{AF538A31-CE3F-4307-B5BB-1F1A8EF6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F6"/>
  </w:style>
  <w:style w:type="paragraph" w:styleId="Footer">
    <w:name w:val="footer"/>
    <w:basedOn w:val="Normal"/>
    <w:link w:val="FooterChar"/>
    <w:uiPriority w:val="99"/>
    <w:unhideWhenUsed/>
    <w:rsid w:val="00A91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F6"/>
  </w:style>
  <w:style w:type="paragraph" w:styleId="ListParagraph">
    <w:name w:val="List Paragraph"/>
    <w:basedOn w:val="Normal"/>
    <w:uiPriority w:val="34"/>
    <w:qFormat/>
    <w:rsid w:val="00BB6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4550">
      <w:bodyDiv w:val="1"/>
      <w:marLeft w:val="0"/>
      <w:marRight w:val="0"/>
      <w:marTop w:val="0"/>
      <w:marBottom w:val="0"/>
      <w:divBdr>
        <w:top w:val="none" w:sz="0" w:space="0" w:color="auto"/>
        <w:left w:val="none" w:sz="0" w:space="0" w:color="auto"/>
        <w:bottom w:val="none" w:sz="0" w:space="0" w:color="auto"/>
        <w:right w:val="none" w:sz="0" w:space="0" w:color="auto"/>
      </w:divBdr>
    </w:div>
    <w:div w:id="157423418">
      <w:bodyDiv w:val="1"/>
      <w:marLeft w:val="0"/>
      <w:marRight w:val="0"/>
      <w:marTop w:val="0"/>
      <w:marBottom w:val="0"/>
      <w:divBdr>
        <w:top w:val="none" w:sz="0" w:space="0" w:color="auto"/>
        <w:left w:val="none" w:sz="0" w:space="0" w:color="auto"/>
        <w:bottom w:val="none" w:sz="0" w:space="0" w:color="auto"/>
        <w:right w:val="none" w:sz="0" w:space="0" w:color="auto"/>
      </w:divBdr>
    </w:div>
    <w:div w:id="218171881">
      <w:bodyDiv w:val="1"/>
      <w:marLeft w:val="0"/>
      <w:marRight w:val="0"/>
      <w:marTop w:val="0"/>
      <w:marBottom w:val="0"/>
      <w:divBdr>
        <w:top w:val="none" w:sz="0" w:space="0" w:color="auto"/>
        <w:left w:val="none" w:sz="0" w:space="0" w:color="auto"/>
        <w:bottom w:val="none" w:sz="0" w:space="0" w:color="auto"/>
        <w:right w:val="none" w:sz="0" w:space="0" w:color="auto"/>
      </w:divBdr>
    </w:div>
    <w:div w:id="388845344">
      <w:bodyDiv w:val="1"/>
      <w:marLeft w:val="0"/>
      <w:marRight w:val="0"/>
      <w:marTop w:val="0"/>
      <w:marBottom w:val="0"/>
      <w:divBdr>
        <w:top w:val="none" w:sz="0" w:space="0" w:color="auto"/>
        <w:left w:val="none" w:sz="0" w:space="0" w:color="auto"/>
        <w:bottom w:val="none" w:sz="0" w:space="0" w:color="auto"/>
        <w:right w:val="none" w:sz="0" w:space="0" w:color="auto"/>
      </w:divBdr>
    </w:div>
    <w:div w:id="559750388">
      <w:bodyDiv w:val="1"/>
      <w:marLeft w:val="0"/>
      <w:marRight w:val="0"/>
      <w:marTop w:val="0"/>
      <w:marBottom w:val="0"/>
      <w:divBdr>
        <w:top w:val="none" w:sz="0" w:space="0" w:color="auto"/>
        <w:left w:val="none" w:sz="0" w:space="0" w:color="auto"/>
        <w:bottom w:val="none" w:sz="0" w:space="0" w:color="auto"/>
        <w:right w:val="none" w:sz="0" w:space="0" w:color="auto"/>
      </w:divBdr>
    </w:div>
    <w:div w:id="726105257">
      <w:bodyDiv w:val="1"/>
      <w:marLeft w:val="0"/>
      <w:marRight w:val="0"/>
      <w:marTop w:val="0"/>
      <w:marBottom w:val="0"/>
      <w:divBdr>
        <w:top w:val="none" w:sz="0" w:space="0" w:color="auto"/>
        <w:left w:val="none" w:sz="0" w:space="0" w:color="auto"/>
        <w:bottom w:val="none" w:sz="0" w:space="0" w:color="auto"/>
        <w:right w:val="none" w:sz="0" w:space="0" w:color="auto"/>
      </w:divBdr>
    </w:div>
    <w:div w:id="1124497447">
      <w:bodyDiv w:val="1"/>
      <w:marLeft w:val="0"/>
      <w:marRight w:val="0"/>
      <w:marTop w:val="0"/>
      <w:marBottom w:val="0"/>
      <w:divBdr>
        <w:top w:val="none" w:sz="0" w:space="0" w:color="auto"/>
        <w:left w:val="none" w:sz="0" w:space="0" w:color="auto"/>
        <w:bottom w:val="none" w:sz="0" w:space="0" w:color="auto"/>
        <w:right w:val="none" w:sz="0" w:space="0" w:color="auto"/>
      </w:divBdr>
    </w:div>
    <w:div w:id="1204907346">
      <w:bodyDiv w:val="1"/>
      <w:marLeft w:val="0"/>
      <w:marRight w:val="0"/>
      <w:marTop w:val="0"/>
      <w:marBottom w:val="0"/>
      <w:divBdr>
        <w:top w:val="none" w:sz="0" w:space="0" w:color="auto"/>
        <w:left w:val="none" w:sz="0" w:space="0" w:color="auto"/>
        <w:bottom w:val="none" w:sz="0" w:space="0" w:color="auto"/>
        <w:right w:val="none" w:sz="0" w:space="0" w:color="auto"/>
      </w:divBdr>
    </w:div>
    <w:div w:id="1205942723">
      <w:bodyDiv w:val="1"/>
      <w:marLeft w:val="0"/>
      <w:marRight w:val="0"/>
      <w:marTop w:val="0"/>
      <w:marBottom w:val="0"/>
      <w:divBdr>
        <w:top w:val="none" w:sz="0" w:space="0" w:color="auto"/>
        <w:left w:val="none" w:sz="0" w:space="0" w:color="auto"/>
        <w:bottom w:val="none" w:sz="0" w:space="0" w:color="auto"/>
        <w:right w:val="none" w:sz="0" w:space="0" w:color="auto"/>
      </w:divBdr>
    </w:div>
    <w:div w:id="1400012091">
      <w:bodyDiv w:val="1"/>
      <w:marLeft w:val="0"/>
      <w:marRight w:val="0"/>
      <w:marTop w:val="0"/>
      <w:marBottom w:val="0"/>
      <w:divBdr>
        <w:top w:val="none" w:sz="0" w:space="0" w:color="auto"/>
        <w:left w:val="none" w:sz="0" w:space="0" w:color="auto"/>
        <w:bottom w:val="none" w:sz="0" w:space="0" w:color="auto"/>
        <w:right w:val="none" w:sz="0" w:space="0" w:color="auto"/>
      </w:divBdr>
    </w:div>
    <w:div w:id="1429543011">
      <w:bodyDiv w:val="1"/>
      <w:marLeft w:val="0"/>
      <w:marRight w:val="0"/>
      <w:marTop w:val="0"/>
      <w:marBottom w:val="0"/>
      <w:divBdr>
        <w:top w:val="none" w:sz="0" w:space="0" w:color="auto"/>
        <w:left w:val="none" w:sz="0" w:space="0" w:color="auto"/>
        <w:bottom w:val="none" w:sz="0" w:space="0" w:color="auto"/>
        <w:right w:val="none" w:sz="0" w:space="0" w:color="auto"/>
      </w:divBdr>
    </w:div>
    <w:div w:id="1468204061">
      <w:bodyDiv w:val="1"/>
      <w:marLeft w:val="0"/>
      <w:marRight w:val="0"/>
      <w:marTop w:val="0"/>
      <w:marBottom w:val="0"/>
      <w:divBdr>
        <w:top w:val="none" w:sz="0" w:space="0" w:color="auto"/>
        <w:left w:val="none" w:sz="0" w:space="0" w:color="auto"/>
        <w:bottom w:val="none" w:sz="0" w:space="0" w:color="auto"/>
        <w:right w:val="none" w:sz="0" w:space="0" w:color="auto"/>
      </w:divBdr>
    </w:div>
    <w:div w:id="1811054244">
      <w:bodyDiv w:val="1"/>
      <w:marLeft w:val="0"/>
      <w:marRight w:val="0"/>
      <w:marTop w:val="0"/>
      <w:marBottom w:val="0"/>
      <w:divBdr>
        <w:top w:val="none" w:sz="0" w:space="0" w:color="auto"/>
        <w:left w:val="none" w:sz="0" w:space="0" w:color="auto"/>
        <w:bottom w:val="none" w:sz="0" w:space="0" w:color="auto"/>
        <w:right w:val="none" w:sz="0" w:space="0" w:color="auto"/>
      </w:divBdr>
    </w:div>
    <w:div w:id="1818647188">
      <w:bodyDiv w:val="1"/>
      <w:marLeft w:val="0"/>
      <w:marRight w:val="0"/>
      <w:marTop w:val="0"/>
      <w:marBottom w:val="0"/>
      <w:divBdr>
        <w:top w:val="none" w:sz="0" w:space="0" w:color="auto"/>
        <w:left w:val="none" w:sz="0" w:space="0" w:color="auto"/>
        <w:bottom w:val="none" w:sz="0" w:space="0" w:color="auto"/>
        <w:right w:val="none" w:sz="0" w:space="0" w:color="auto"/>
      </w:divBdr>
    </w:div>
    <w:div w:id="1908375154">
      <w:bodyDiv w:val="1"/>
      <w:marLeft w:val="0"/>
      <w:marRight w:val="0"/>
      <w:marTop w:val="0"/>
      <w:marBottom w:val="0"/>
      <w:divBdr>
        <w:top w:val="none" w:sz="0" w:space="0" w:color="auto"/>
        <w:left w:val="none" w:sz="0" w:space="0" w:color="auto"/>
        <w:bottom w:val="none" w:sz="0" w:space="0" w:color="auto"/>
        <w:right w:val="none" w:sz="0" w:space="0" w:color="auto"/>
      </w:divBdr>
    </w:div>
    <w:div w:id="19505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83E41-0C8D-407D-A6D0-2004F89C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33</Pages>
  <Words>2150</Words>
  <Characters>12255</Characters>
  <Application>Microsoft Office Word</Application>
  <DocSecurity>0</DocSecurity>
  <Lines>102</Lines>
  <Paragraphs>28</Paragraphs>
  <ScaleCrop>false</ScaleCrop>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Andrés Maceiras Fernández</dc:creator>
  <cp:keywords/>
  <dc:description/>
  <cp:lastModifiedBy>Ricardo Andrés Maceiras Fernández</cp:lastModifiedBy>
  <cp:revision>496</cp:revision>
  <dcterms:created xsi:type="dcterms:W3CDTF">2022-11-20T19:58:00Z</dcterms:created>
  <dcterms:modified xsi:type="dcterms:W3CDTF">2022-12-27T23:31:00Z</dcterms:modified>
</cp:coreProperties>
</file>