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50"/>
        <w:jc w:val="left"/>
        <w:outlineLvl w:val="0"/>
        <w:rPr>
          <w:rFonts w:hint="eastAsia" w:ascii="Verdana" w:hAnsi="Verdana" w:eastAsia="Times New Roman" w:cs="Times New Roman"/>
          <w:b/>
          <w:bCs/>
          <w:color w:val="4B4B4B"/>
          <w:kern w:val="36"/>
          <w:sz w:val="22"/>
          <w:szCs w:val="22"/>
        </w:rPr>
      </w:pPr>
      <w:r>
        <w:rPr>
          <w:rFonts w:ascii="Verdana" w:hAnsi="Verdana" w:eastAsia="Times New Roman" w:cs="Times New Roman"/>
          <w:b/>
          <w:bCs/>
          <w:color w:val="4B4B4B"/>
          <w:kern w:val="36"/>
          <w:sz w:val="22"/>
          <w:szCs w:val="22"/>
        </w:rPr>
        <w:fldChar w:fldCharType="begin"/>
      </w:r>
      <w:r>
        <w:rPr>
          <w:rFonts w:ascii="Verdana" w:hAnsi="Verdana" w:eastAsia="Times New Roman" w:cs="Times New Roman"/>
          <w:b/>
          <w:bCs/>
          <w:color w:val="4B4B4B"/>
          <w:kern w:val="36"/>
          <w:sz w:val="22"/>
          <w:szCs w:val="22"/>
        </w:rPr>
        <w:instrText xml:space="preserve"> HYPERLINK "http://www.cnblogs.com/linjiqin/archive/2012/04/01/2428695.html" </w:instrText>
      </w:r>
      <w:r>
        <w:rPr>
          <w:rFonts w:ascii="Verdana" w:hAnsi="Verdana" w:eastAsia="Times New Roman" w:cs="Times New Roman"/>
          <w:b/>
          <w:bCs/>
          <w:color w:val="4B4B4B"/>
          <w:kern w:val="36"/>
          <w:sz w:val="22"/>
          <w:szCs w:val="22"/>
        </w:rPr>
        <w:fldChar w:fldCharType="separate"/>
      </w:r>
      <w:r>
        <w:rPr>
          <w:rFonts w:ascii="Libian SC Regular" w:hAnsi="Libian SC Regular" w:eastAsia="Times New Roman" w:cs="Libian SC Regular"/>
          <w:b/>
          <w:bCs/>
          <w:color w:val="1A8BC8"/>
          <w:kern w:val="36"/>
          <w:sz w:val="22"/>
          <w:szCs w:val="22"/>
        </w:rPr>
        <w:t>数</w:t>
      </w:r>
      <w:r>
        <w:rPr>
          <w:rFonts w:ascii="Lantinghei TC Extralight" w:hAnsi="Lantinghei TC Extralight" w:eastAsia="Times New Roman" w:cs="Lantinghei TC Extralight"/>
          <w:b/>
          <w:bCs/>
          <w:color w:val="1A8BC8"/>
          <w:kern w:val="36"/>
          <w:sz w:val="22"/>
          <w:szCs w:val="22"/>
        </w:rPr>
        <w:t>据</w:t>
      </w:r>
      <w:r>
        <w:rPr>
          <w:rFonts w:ascii="Libian SC Regular" w:hAnsi="Libian SC Regular" w:eastAsia="Times New Roman" w:cs="Libian SC Regular"/>
          <w:b/>
          <w:bCs/>
          <w:color w:val="1A8BC8"/>
          <w:kern w:val="36"/>
          <w:sz w:val="22"/>
          <w:szCs w:val="22"/>
        </w:rPr>
        <w:t>库</w:t>
      </w:r>
      <w:r>
        <w:rPr>
          <w:rFonts w:ascii="Lantinghei TC Extralight" w:hAnsi="Lantinghei TC Extralight" w:eastAsia="Times New Roman" w:cs="Lantinghei TC Extralight"/>
          <w:b/>
          <w:bCs/>
          <w:color w:val="1A8BC8"/>
          <w:kern w:val="36"/>
          <w:sz w:val="22"/>
          <w:szCs w:val="22"/>
        </w:rPr>
        <w:t>设</w:t>
      </w:r>
      <w:r>
        <w:rPr>
          <w:rFonts w:ascii="Libian SC Regular" w:hAnsi="Libian SC Regular" w:eastAsia="Times New Roman" w:cs="Libian SC Regular"/>
          <w:b/>
          <w:bCs/>
          <w:color w:val="1A8BC8"/>
          <w:kern w:val="36"/>
          <w:sz w:val="22"/>
          <w:szCs w:val="22"/>
        </w:rPr>
        <w:t>计</w:t>
      </w:r>
      <w:r>
        <w:rPr>
          <w:rFonts w:ascii="Lantinghei TC Extralight" w:hAnsi="Lantinghei TC Extralight" w:eastAsia="Times New Roman" w:cs="Lantinghei TC Extralight"/>
          <w:b/>
          <w:bCs/>
          <w:color w:val="1A8BC8"/>
          <w:kern w:val="36"/>
          <w:sz w:val="22"/>
          <w:szCs w:val="22"/>
        </w:rPr>
        <w:t>三大范式</w:t>
      </w:r>
      <w:r>
        <w:rPr>
          <w:rFonts w:ascii="Verdana" w:hAnsi="Verdana" w:eastAsia="Times New Roman" w:cs="Times New Roman"/>
          <w:b/>
          <w:bCs/>
          <w:color w:val="4B4B4B"/>
          <w:kern w:val="36"/>
          <w:sz w:val="22"/>
          <w:szCs w:val="22"/>
        </w:rPr>
        <w:fldChar w:fldCharType="end"/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范式：英文名称是 Normal Form通常所用到的只是前三个范式，即：第一范式（1NF），第二范式（2NF），第三范式（3NF）</w:t>
      </w:r>
    </w:p>
    <w:p>
      <w:pPr>
        <w:widowControl/>
        <w:spacing w:before="100" w:beforeAutospacing="1" w:after="150"/>
        <w:jc w:val="left"/>
        <w:outlineLvl w:val="0"/>
        <w:rPr>
          <w:rFonts w:hint="eastAsia" w:ascii="Verdana" w:hAnsi="Verdana" w:eastAsia="Times New Roman" w:cs="Times New Roman"/>
          <w:b/>
          <w:bCs/>
          <w:color w:val="4B4B4B"/>
          <w:kern w:val="36"/>
          <w:sz w:val="22"/>
          <w:szCs w:val="22"/>
        </w:rPr>
      </w:pP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                 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在实际开发中最为常见的设计范式有三个：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1．第一范式(确保每列保持原子性)</w:t>
      </w:r>
      <w:r>
        <w:rPr>
          <w:rFonts w:hint="eastAsia" w:ascii="Verdana" w:hAnsi="Verdana" w:cs="Times New Roman"/>
          <w:b/>
          <w:bCs/>
          <w:color w:val="4B4B4B"/>
          <w:kern w:val="0"/>
          <w:sz w:val="20"/>
          <w:szCs w:val="20"/>
          <w:lang w:eastAsia="zh-CN"/>
        </w:rPr>
        <w:t>，列不可拆分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第一范式是最基本的范式。如果数据库表中的</w:t>
      </w:r>
      <w:r>
        <w:rPr>
          <w:rFonts w:ascii="Verdana" w:hAnsi="Verdana" w:cs="Times New Roman"/>
          <w:color w:val="FF0000"/>
          <w:kern w:val="0"/>
          <w:sz w:val="20"/>
          <w:szCs w:val="20"/>
        </w:rPr>
        <w:t>所有字段值都是不可分解的原子值</w:t>
      </w:r>
      <w:r>
        <w:rPr>
          <w:rFonts w:ascii="Verdana" w:hAnsi="Verdana" w:cs="Times New Roman"/>
          <w:color w:val="4B4B4B"/>
          <w:kern w:val="0"/>
          <w:sz w:val="20"/>
          <w:szCs w:val="20"/>
        </w:rPr>
        <w:t>，就说明该数据库表满足了第一范式。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第一范式的合理遵循需要根据系统的</w:t>
      </w:r>
      <w:r>
        <w:rPr>
          <w:rFonts w:ascii="Verdana" w:hAnsi="Verdana" w:cs="Times New Roman"/>
          <w:color w:val="FF0000"/>
          <w:kern w:val="0"/>
          <w:sz w:val="20"/>
          <w:szCs w:val="20"/>
        </w:rPr>
        <w:t>实际需求</w:t>
      </w:r>
      <w:r>
        <w:rPr>
          <w:rFonts w:ascii="Verdana" w:hAnsi="Verdana" w:cs="Times New Roman"/>
          <w:color w:val="4B4B4B"/>
          <w:kern w:val="0"/>
          <w:sz w:val="20"/>
          <w:szCs w:val="20"/>
        </w:rPr>
        <w:t>来定。比如某些数据库系统中需要用到“地址”这个属性，本来直接将“地址”属性设计成一个数据库表的字段就行。但是如果系统经常会访问“地址”属性中的“城市”部分，那么就非要将“地址”这个属性重新拆分为省份、城市、详细地址等多个部分进行存储，这样在对地址中某一部分操作的时候将非常方便。这样设计才算满足了数据库的第一范式，如下表所示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drawing>
          <wp:inline distT="0" distB="0" distL="0" distR="0">
            <wp:extent cx="5820410" cy="1987550"/>
            <wp:effectExtent l="0" t="0" r="0" b="0"/>
            <wp:docPr id="1" name="图片 1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443" cy="19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上表所示的用户信息遵循了第一范式的要求，这样在对用户使用城市进行分类的时候就非常方便，也提高了数据库的性能。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         </w:t>
      </w:r>
      <w:r>
        <w:rPr>
          <w:rFonts w:ascii="Helvetica" w:hAnsi="Helvetica" w:cs="Helvetica"/>
          <w:kern w:val="0"/>
        </w:rPr>
        <w:drawing>
          <wp:inline distT="0" distB="0" distL="0" distR="0">
            <wp:extent cx="5270500" cy="1108075"/>
            <wp:effectExtent l="0" t="0" r="635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</w:rPr>
        <w:drawing>
          <wp:inline distT="0" distB="0" distL="0" distR="0">
            <wp:extent cx="5270500" cy="808990"/>
            <wp:effectExtent l="0" t="0" r="635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color w:val="4B4B4B"/>
          <w:kern w:val="0"/>
          <w:sz w:val="20"/>
          <w:szCs w:val="20"/>
        </w:rPr>
        <w:t>       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2．第二范式(确保表中的每列都和主键相关)</w:t>
      </w:r>
      <w:r>
        <w:rPr>
          <w:rFonts w:hint="eastAsia" w:ascii="Verdana" w:hAnsi="Verdana" w:cs="Times New Roman"/>
          <w:b/>
          <w:bCs/>
          <w:color w:val="4B4B4B"/>
          <w:kern w:val="0"/>
          <w:sz w:val="20"/>
          <w:szCs w:val="20"/>
          <w:lang w:eastAsia="zh-CN"/>
        </w:rPr>
        <w:t>，唯一标识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FF0000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第二范式在第一范式的基础之上更进一层。第二范式需要确保数据库表中的每一列都和主键相关，而不能只与主键的某一部分相关（主要针对联合主键而言）。</w:t>
      </w:r>
      <w:r>
        <w:rPr>
          <w:rFonts w:ascii="Verdana" w:hAnsi="Verdana" w:cs="Times New Roman"/>
          <w:color w:val="FF0000"/>
          <w:kern w:val="0"/>
          <w:sz w:val="20"/>
          <w:szCs w:val="20"/>
        </w:rPr>
        <w:t>也就是说在一个数据库表中，一个表中只能保存一种数据，不可以把多种数据保存在同一张数据库表中。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FF0000"/>
          <w:kern w:val="0"/>
          <w:sz w:val="20"/>
          <w:szCs w:val="20"/>
        </w:rPr>
      </w:pPr>
      <w:r>
        <w:rPr>
          <w:rFonts w:ascii="Helvetica" w:hAnsi="Helvetica" w:cs="Helvetica"/>
          <w:kern w:val="0"/>
        </w:rPr>
        <w:drawing>
          <wp:inline distT="0" distB="0" distL="0" distR="0">
            <wp:extent cx="5270500" cy="2776855"/>
            <wp:effectExtent l="0" t="0" r="635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cs="Times New Roman"/>
          <w:color w:val="FF0000"/>
          <w:kern w:val="0"/>
          <w:sz w:val="20"/>
          <w:szCs w:val="20"/>
        </w:rPr>
      </w:pP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比如要设计一个订单信息表，因为订单中可能会有多种商品，所以要将订单编号和商品编号作为数据库表的联合主键，如下表所示。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 订单信息表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drawing>
          <wp:inline distT="0" distB="0" distL="0" distR="0">
            <wp:extent cx="5466080" cy="1283335"/>
            <wp:effectExtent l="0" t="0" r="0" b="12065"/>
            <wp:docPr id="2" name="图片 2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28" cy="12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而如果把这个订单信息表进行拆分，把商品信息分离到另一个表中，把订单项目表也分离到另一个表中，就非常完美了。如下所示。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drawing>
          <wp:inline distT="0" distB="0" distL="0" distR="0">
            <wp:extent cx="3474720" cy="5107305"/>
            <wp:effectExtent l="0" t="0" r="5080" b="0"/>
            <wp:docPr id="3" name="图片 3" descr="http://pic002.cnblogs.com/images/2012/270324/20120401140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pic002.cnblogs.com/images/2012/270324/20120401140821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073" cy="510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这样设计，在很大程度上减小了数据库的冗余。如果要获取订单的商品信息，使用商品编号到商品信息表中查询即可。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                 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b/>
          <w:bCs/>
          <w:color w:val="4B4B4B"/>
          <w:kern w:val="0"/>
          <w:sz w:val="20"/>
          <w:szCs w:val="20"/>
        </w:rPr>
        <w:t>3．第三范式(确保每列都和主键列直接相关,而不是间接相关)</w:t>
      </w:r>
      <w:r>
        <w:rPr>
          <w:rFonts w:hint="eastAsia" w:ascii="Verdana" w:hAnsi="Verdana" w:cs="Times New Roman"/>
          <w:b/>
          <w:bCs/>
          <w:color w:val="4B4B4B"/>
          <w:kern w:val="0"/>
          <w:sz w:val="20"/>
          <w:szCs w:val="20"/>
          <w:lang w:eastAsia="zh-CN"/>
        </w:rPr>
        <w:t>，引用主键。主要指</w:t>
      </w:r>
      <w:bookmarkStart w:id="0" w:name="_GoBack"/>
      <w:bookmarkEnd w:id="0"/>
      <w:r>
        <w:rPr>
          <w:rFonts w:hint="eastAsia" w:ascii="Verdana" w:hAnsi="Verdana" w:cs="Times New Roman"/>
          <w:b/>
          <w:bCs/>
          <w:color w:val="4B4B4B"/>
          <w:kern w:val="0"/>
          <w:sz w:val="20"/>
          <w:szCs w:val="20"/>
          <w:lang w:eastAsia="zh-CN"/>
        </w:rPr>
        <w:t>的是关系。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第三范式需要确保数据表中的</w:t>
      </w:r>
      <w:r>
        <w:rPr>
          <w:rFonts w:ascii="Verdana" w:hAnsi="Verdana" w:cs="Times New Roman"/>
          <w:color w:val="FF0000"/>
          <w:kern w:val="0"/>
          <w:sz w:val="20"/>
          <w:szCs w:val="20"/>
        </w:rPr>
        <w:t>每一列数据都和主键直接相关，而不能间接相关</w:t>
      </w:r>
      <w:r>
        <w:rPr>
          <w:rFonts w:ascii="Verdana" w:hAnsi="Verdana" w:cs="Times New Roman"/>
          <w:color w:val="4B4B4B"/>
          <w:kern w:val="0"/>
          <w:sz w:val="20"/>
          <w:szCs w:val="20"/>
        </w:rPr>
        <w:t>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比如在设计一个订单数据表的时候，可以将客户编号作为一个外键和订单表建立相应的关系。而不可以在订单表中添加关于客户其它信息（比如姓名、所属公司等）的字段。如下面这两个表所示的设计就是一个满足第三范式的数据库表。</w:t>
      </w:r>
    </w:p>
    <w:p>
      <w:pPr>
        <w:widowControl/>
        <w:spacing w:before="150" w:after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drawing>
          <wp:inline distT="0" distB="0" distL="0" distR="0">
            <wp:extent cx="5554980" cy="3385185"/>
            <wp:effectExtent l="0" t="0" r="7620" b="0"/>
            <wp:docPr id="4" name="图片 4" descr="http://pic002.cnblogs.com/images/2012/270324/201204011410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pic002.cnblogs.com/images/2012/270324/20120401141054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185" cy="338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Verdana" w:hAnsi="Verdana" w:cs="Times New Roman"/>
          <w:color w:val="4B4B4B"/>
          <w:kern w:val="0"/>
          <w:sz w:val="20"/>
          <w:szCs w:val="20"/>
        </w:rPr>
        <w:t>这样在查询订单信息的时候，就可以使用客户编号来引用客户信息表中的记录，也不必在订单信息表中多次输入客户信息的内容，减小了数据冗余。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ibian SC Regular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Extralight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AE"/>
    <w:rsid w:val="006B09AE"/>
    <w:rsid w:val="00E85B20"/>
    <w:rsid w:val="09C46935"/>
    <w:rsid w:val="16635930"/>
    <w:rsid w:val="363E6E6C"/>
    <w:rsid w:val="3D9B7D35"/>
    <w:rsid w:val="49BF35C8"/>
    <w:rsid w:val="4FD7355E"/>
    <w:rsid w:val="68F1462F"/>
    <w:rsid w:val="767D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字符"/>
    <w:basedOn w:val="5"/>
    <w:link w:val="2"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10">
    <w:name w:val="批注框文本字符"/>
    <w:basedOn w:val="5"/>
    <w:link w:val="3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1102</Characters>
  <Lines>9</Lines>
  <Paragraphs>2</Paragraphs>
  <TotalTime>0</TotalTime>
  <ScaleCrop>false</ScaleCrop>
  <LinksUpToDate>false</LinksUpToDate>
  <CharactersWithSpaces>1293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2017-08-22T15:22:00Z</dcterms:created>
  <dc:creator>hanru</dc:creator>
  <cp:lastModifiedBy>ruby</cp:lastModifiedBy>
  <dcterms:modified xsi:type="dcterms:W3CDTF">2017-12-10T14:07:53Z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