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72E6C"/>
          <w:sz w:val="22"/>
          <w:szCs w:val="22"/>
        </w:rPr>
        <w:t xml:space="preserve">ZIBUKO CAPITAL</w:t>
      </w:r>
    </w:p>
    <w:p>
      <w:pPr>
        <w:spacing w:after="240"/>
      </w:pPr>
      <w:r>
        <w:rPr>
          <w:b/>
          <w:bCs/>
          <w:color w:val="272E6C"/>
          <w:sz w:val="36"/>
          <w:szCs w:val="36"/>
        </w:rPr>
        <w:t xml:space="preserve">Security Remediation, Compliance &amp; Growth Build-Out — Digital Marketing Case Study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Zibuko Capital's engagement began as an emergency security response — a compromised WordPress install spraying spam content — and expanded into a full privacy/compliance build-out under Zimbabwe's Cyber and Data Protection Act, a from-scratch SEO and AI-search content strategy, and hands-on landing page and lead-form work for the School Fees Loans product. This document tracks that build-out end to end: the breach cleanup, the Zimbabwe-first privacy audit and remediation, cookie-consent and tracking governance across GA4, Meta Pixel and Microsoft Clarity, a 13-module SEO/AEO/GEO strategist framework and the blog content it produced, and the design and build of the School Fees Loans landing page and application form.</w:t>
      </w:r>
    </w:p>
    <w:p>
      <w:pPr>
        <w:spacing w:after="160"/>
      </w:pPr>
      <w:r>
        <w:rPr>
          <w:sz w:val="22"/>
          <w:szCs w:val="22"/>
        </w:rPr>
        <w:t xml:space="preserve">It is a working record, not a finished report. Some items below are live and verified; others — the Meta Ads campaign and the Meta-to-Brevo lead relay — are scoped but blocked on account-linkage and authorisation steps that need to happen on Zibuko's side.</w:t>
      </w:r>
    </w:p>
    <w:p>
      <w:pPr>
        <w:spacing w:after="160"/>
      </w:pPr>
      <w:r>
        <w:rPr>
          <w:sz w:val="22"/>
          <w:szCs w:val="22"/>
        </w:rPr>
        <w:t xml:space="preserve">Where things stand today: the site is clean and the backdoor is closed, the Privacy Policy and consent stack meet Zimbabwe's CDPA baseline, six SEO-researched blog posts are drafted and ready for review, the School Fees Loans page and a purpose-built lead form are live, and all consent-relevant tracking — GA4, Meta Pixel, and Microsoft Clarity — is properly gated behind visitor consent.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1. Security Incident Response</w:t>
      </w:r>
    </w:p>
    <w:p>
      <w:pPr>
        <w:spacing w:after="160"/>
      </w:pPr>
      <w:r>
        <w:rPr>
          <w:sz w:val="22"/>
          <w:szCs w:val="22"/>
        </w:rPr>
        <w:t xml:space="preserve">The engagement opened with a live compromise: the WordPress install was found generating spam content, including a large batch of spam posts and injected links. Response,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Triggered a full UpdraftPlus backup before making any changes, then verified it completed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Identified and permanently deleted the spam posts, keeping the 21 genuine posts already on the site, then cleaned up the orphaned taxonomy terms left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Scanned the filesystem and located the actual backdoor PHP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Changed the WordPress admin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Later, while investigating an unrelated new-post failure, found and — with explicit sign-off — dropped a leftover MySQL trigger (novamira_block_new_posts) that had been silently blocking all new post inserts since the original incident.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Found and permanently deleted 101 orphaned revision rows still carrying spam text, and stripped residual hidden spam links from four live pages left over from the original compromise.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2. Privacy &amp; Data Protection Compliance (Zimbabwe CDPA)</w:t>
      </w:r>
    </w:p>
    <w:p>
      <w:pPr>
        <w:spacing w:after="160"/>
      </w:pPr>
      <w:r>
        <w:rPr>
          <w:sz w:val="22"/>
          <w:szCs w:val="22"/>
        </w:rPr>
        <w:t xml:space="preserve">Built a dedicated Privacy Compliance Audit skill — Zimbabwe-first, applying the Cyber and Data Protection Act [Chapter 12:07] and S.I. 155 of 2024 ahead of GDPR/POPIA as supplementary reference — then ran it against the live site. Findings were remediated directly: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Rewrote the Privacy Policy for Zimbabwe CDPA compliance, then revised it again on request to remove all references to time, duration and business-age claims, since that information wasn't available to state accurately.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Fixed the wp_page_for_privacy_policy setting so WordPress recognised the actual policy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Added a Privacy Policy link to both footer templates and to the main site navigation as its own top-level nav button, matching the styling of the other nav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Added a required consent checkbox to the loan application Contact Form 7 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Installed a free cookie consent plugin (CookieYes) and enabled Google Consent Mode inside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Confirmed and enabled Site Kit's own consent mode support for GA4.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Deleted a duplicate School Fees Loans page and leftover spam media attachments found during the same pass.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3. Cookie Consent &amp; Tracking Governance</w:t>
      </w:r>
    </w:p>
    <w:p>
      <w:pPr>
        <w:spacing w:after="160"/>
      </w:pPr>
      <w:r>
        <w:rPr>
          <w:sz w:val="22"/>
          <w:szCs w:val="22"/>
        </w:rPr>
        <w:t xml:space="preserve">Consent gating was treated as an ongoing gate, not a one-time toggle, and extended to every tracker installed on the site:</w:t>
      </w:r>
    </w:p>
    <w:p>
      <w:pPr>
        <w:pStyle w:val="Heading2"/>
        <w:spacing w:after="80" w:before="200"/>
      </w:pPr>
      <w:r>
        <w:rPr>
          <w:b/>
          <w:bCs/>
          <w:color w:val="41B649"/>
          <w:sz w:val="24"/>
          <w:szCs w:val="24"/>
        </w:rPr>
        <w:t xml:space="preserve">Meta Pixel &amp; GA4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Pixel gated behind CookieYes consent; verified live that it does not fire until advertisement consent is granted.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Consent Mode default set to denied for all non-essential categories before any Google tag loads, updating live from the CookieYes consent cookie.</w:t>
      </w:r>
    </w:p>
    <w:p>
      <w:pPr>
        <w:pStyle w:val="Heading2"/>
        <w:spacing w:after="80" w:before="200"/>
      </w:pPr>
      <w:r>
        <w:rPr>
          <w:b/>
          <w:bCs/>
          <w:color w:val="41B649"/>
          <w:sz w:val="24"/>
          <w:szCs w:val="24"/>
        </w:rPr>
        <w:t xml:space="preserve">Microsoft Clarity</w:t>
      </w:r>
    </w:p>
    <w:p>
      <w:pPr>
        <w:spacing w:after="160"/>
      </w:pPr>
      <w:r>
        <w:rPr>
          <w:sz w:val="22"/>
          <w:szCs w:val="22"/>
        </w:rPr>
        <w:t xml:space="preserve">Direct browser inspection found Clarity loading unconditionally through the site's Google Tag Manager container (GTM-K8KWLSMZ) on every pageview — before any consent decision — setting its _clck/_clsk tracking cookies even when a visitor had explicitly declined analytics consent. Without GTM container access, the fix was built client-side: a WPCode snippet, prioritised to run before the GTM snippet, that intercepts and blocks Clarity's script insertion and clears its cookies until CookieYes analytics consent is granted. Verified both directions live — blocked when consent is denied, loads normally when granted — then added Microsoft Clarity to the Privacy Policy's tracking disclosure and international-transfers section. Separately confirmed, directly in the Clarity dashboard on the correct ZIBUKO project, that masking was already set to Strict (all text masked).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4. SEO / AEO / GEO Strategy &amp; Content Build-Out</w:t>
      </w:r>
    </w:p>
    <w:p>
      <w:pPr>
        <w:spacing w:after="160"/>
      </w:pPr>
      <w:r>
        <w:rPr>
          <w:sz w:val="22"/>
          <w:szCs w:val="22"/>
        </w:rPr>
        <w:t xml:space="preserve">Built a 13-module Senior SEO/AEO/GEO/Local/AI-Citation Strategist skill from the client's own specification — covering search-demand mapping, keyword-to-page mapping, competitor SERP intelligence, technical SEO, content quality, AI Overview/AEO/GEO optimisation, authority and digital PR, local SEO, zero-AI-slop content standards, and a measurement and roadmap framework — packaged for reuse on every future blog cycle. Ran it against zibuko.com for Zimbabwean-loans search demand: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Pulled verified facts directly from the live site rather than assuming anything about the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Researched search demand and the competitor landscape for Zimbabwean loan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 a money-keyword map and checked it against existing content to avoid cannibalisation.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Drafted six answer-first, fact-dense blog posts, internally linked to relevant product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 every draft through the skill's zero-AI-slop check before saving all six as WordPress drafts, ready for review before publishing.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5. Technical SEO &amp; Site Health Fixes</w:t>
      </w:r>
    </w:p>
    <w:p>
      <w:pPr>
        <w:spacing w:after="160"/>
      </w:pPr>
      <w:r>
        <w:rPr>
          <w:sz w:val="22"/>
          <w:szCs w:val="22"/>
        </w:rPr>
        <w:t xml:space="preserve">Fact-gathering for the blog content surfaced live technical issues, fixed as they were found: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/home-loans/ page was serving duplicate Gadget Loans content; set to draft rather than left live and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dead, previously-indexed debt-consolidation URL and the broken /home-loans/ URL were both given proper 301 redirects via a WPCode PHP snippet, rather than left as dead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Residual spam artefacts from the original compromise — injected but non-rendering link blocks in raw page content on two product pages, and the orphaned spam revisions noted in Section 1 — were cleaned up as they were found.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6. Navigation &amp; Site UX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Centred the main navigation button row (a WPCode CSS fix) after the row appeared visually unbalanced.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Added the Privacy Policy link to the nav as its own top-level blue button rather than nesting it under Contact Us, per direct feedback.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7. School Fees Loans Landing Page &amp; Lead Capture</w:t>
      </w:r>
    </w:p>
    <w:p>
      <w:pPr>
        <w:spacing w:after="160"/>
      </w:pPr>
      <w:r>
        <w:rPr>
          <w:sz w:val="22"/>
          <w:szCs w:val="22"/>
        </w:rPr>
        <w:t xml:space="preserve">Authored a standalone Landing Page Specialist Designer &amp; Optimizer framework (discovery, structure, copy, design, form and action design, trust signals, tracking, pre-launch QA), then applied it to the School Fees Loans 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 a dedicated School Fees Loan Application Contact Form 7 form, simplified to Name, Email, Cell Number, Company and Job Title, with the company field populated from Zibuko's real payroll-partner list and clear labelling that the product is for civil servants and other payroll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Fixed the form's email notification template, which was still referencing fields removed when the form was shortened — rewritten to reference only fields that actually exist, and clearly labelled as a School Fees Loan enquiry.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Iterated the page layout per direct feedback: moved the form beside the hero creative so every primary action sits above the fold, then removed a heading line from inside the form on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edit went further than asked — a hero section was rebuilt without being requested while fixing a self-introduced layout bug. This was flagged directly by the client and reverted immediately using WordPress's native revision history, restoring the page to its last client-approved state; the client then made their own further edits directly in the Elementor editor (a new hero background image, a “Salary Based Loans” header, and the form), which were saved once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Added a Zibuko-branded partner-name strip (navy background, brand green text) directly beneath the client's “Salary Based Loans” header, listing real, already-verified payroll partners rather than placeholder names.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8. Meta Ads Campaign (Status: Blocked)</w:t>
      </w:r>
    </w:p>
    <w:p>
      <w:pPr>
        <w:spacing w:after="160"/>
      </w:pPr>
      <w:r>
        <w:rPr>
          <w:sz w:val="22"/>
          <w:szCs w:val="22"/>
        </w:rPr>
        <w:t xml:space="preserve">Scoped a Meta Ads campaign for School Fees Loans using the creative assets and copy already prepared by the client. Blocked on two fronts: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 account linkage: none of the ad accounts currently accessible have the Zibuko Capital Facebook Page linked to them, so a campaign cannot be built until that connection is made on the client's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Lead Ads to Brevo integration: scoped via Make.com (webhook, router, per-branch filter, then a Brevo contact/list action), but building it needs the client to authorise a Facebook connection inside Make.com first.</w:t>
      </w:r>
    </w:p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Current Status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100"/>
      </w:tblGrid>
      <w:tr>
        <w:trPr>
          <w:tblHeader/>
        </w:trPr>
        <w:tc>
          <w:tcPr>
            <w:tcW w:type="dxa" w:w="3400"/>
            <w:shd w:fill="272E6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shd w:fill="272E6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00"/>
            <w:shd w:fill="272E6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incident response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Backdoor removed, spam purged, admin password rotated, blocking DB trigger dropped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Policy (Zimbabwe CDPA)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Rewritten for CDPA, linked in footer and main nav, no time/duration references per request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 consent (CookieYes)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Installed; Google Consent Mode enabled inside it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 consent gating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Kit consent mode support confirmed/enabled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consent gating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live — blocked until advertisement consent is granted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Clarity consent gating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script block + cookie cleanup; verified both directions live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Clarity — Privacy Policy disclosure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to tracking and international-transfer sections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Clarity — masking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08A47"/>
                <w:sz w:val="20"/>
                <w:szCs w:val="20"/>
              </w:rPr>
              <w:t xml:space="preserve">Confirmed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ZIBUKO project already set to Strict (all text masked)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/ AEO / GEO strategist skill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Delivered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reference modules, reusable for future blog cycles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content (6 posts)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08A47"/>
                <w:sz w:val="20"/>
                <w:szCs w:val="20"/>
              </w:rPr>
              <w:t xml:space="preserve">Drafted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as WordPress drafts, awaiting review/publish decision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/home-loans/ duplicate content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Fixed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to draft; 301 redirect added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 indexed debt-consolidation URL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Fixed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301 redirect added via WPCode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nav centering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WPCode CSS fix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Policy nav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Done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Top-level button, matches other nav buttons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Fees Loan Application form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Live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Simplified to 5 fields; payroll-partner list; email notification fixed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Fees Loans landing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1B649"/>
                <w:sz w:val="20"/>
                <w:szCs w:val="20"/>
              </w:rPr>
              <w:t xml:space="preserve">Live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above the fold beside hero creative; branded partner strip added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Ads campaign (School Fees Loans)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13B2E"/>
                <w:sz w:val="20"/>
                <w:szCs w:val="20"/>
              </w:rPr>
              <w:t xml:space="preserve">Blocked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Zibuko Capital Page not linked to any accessible ad account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Lead Ads to Brevo (Make.com)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08A47"/>
                <w:sz w:val="20"/>
                <w:szCs w:val="20"/>
              </w:rPr>
              <w:t xml:space="preserve">Scoped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client to authorise a Facebook connection inside Make.com</w:t>
            </w:r>
          </w:p>
        </w:tc>
      </w:tr>
    </w:tbl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Roadmap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2000"/>
      </w:tblGrid>
      <w:tr>
        <w:trPr>
          <w:tblHeader/>
        </w:trPr>
        <w:tc>
          <w:tcPr>
            <w:tcW w:type="dxa" w:w="700"/>
            <w:shd w:fill="272E6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00"/>
            <w:shd w:fill="272E6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272E6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— security cleanup, privacy/compliance build-out, consent governance across GA4/Meta/Clarity, SEO skill plus 6 blog drafts, School Fees Loans page and form live.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publish (or edit) the six drafted blog posts.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the Zibuko Capital Facebook Page to an accessible ad account so the School Fees Loans Meta campaign can be built.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Authorise a Facebook connection inside Make.com so the Meta Lead Ads to Brevo relay can be built.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 Meta's Lead Gen Terms of Service on the ad account once campaign setup resumes.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Spot-check that Clarity's session recordings are masking loan-form fields as expected now that Strict mode is confirmed live.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 logging each further task in this project's activity log.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Both, ongoing</w:t>
            </w:r>
          </w:p>
        </w:tc>
      </w:tr>
    </w:tbl>
    <w:p>
      <w:pPr>
        <w:pStyle w:val="Heading1"/>
        <w:pBdr>
          <w:bottom w:val="single" w:color="272E6C" w:sz="6" w:space="4"/>
        </w:pBdr>
        <w:spacing w:after="100" w:before="300"/>
      </w:pPr>
      <w:r>
        <w:rPr>
          <w:b/>
          <w:bCs/>
          <w:color w:val="272E6C"/>
          <w:sz w:val="28"/>
          <w:szCs w:val="28"/>
        </w:rPr>
        <w:t xml:space="preserve">Reference</w:t>
      </w:r>
    </w:p>
    <w:p>
      <w:pPr>
        <w:spacing w:after="160"/>
      </w:pPr>
      <w:r>
        <w:rPr>
          <w:sz w:val="22"/>
          <w:szCs w:val="22"/>
        </w:rPr>
        <w:t xml:space="preserve">Website: zibuko.com</w:t>
      </w:r>
    </w:p>
    <w:p>
      <w:pPr>
        <w:spacing w:after="160"/>
      </w:pPr>
      <w:r>
        <w:rPr>
          <w:sz w:val="22"/>
          <w:szCs w:val="22"/>
        </w:rPr>
        <w:t xml:space="preserve">Privacy Policy: zibuko.com/privacy-policy/</w:t>
      </w:r>
    </w:p>
    <w:p>
      <w:pPr>
        <w:spacing w:after="160"/>
      </w:pPr>
      <w:r>
        <w:rPr>
          <w:sz w:val="22"/>
          <w:szCs w:val="22"/>
        </w:rPr>
        <w:t xml:space="preserve">School Fees Loans page: zibuko.com/school-fees-loans/</w:t>
      </w:r>
    </w:p>
    <w:p>
      <w:pPr>
        <w:spacing w:after="160"/>
      </w:pPr>
      <w:r>
        <w:rPr>
          <w:sz w:val="22"/>
          <w:szCs w:val="22"/>
        </w:rPr>
        <w:t xml:space="preserve">School Fees Loan Application form: Contact Form 7, id 4828e51</w:t>
      </w:r>
    </w:p>
    <w:p>
      <w:pPr>
        <w:spacing w:after="160"/>
      </w:pPr>
      <w:r>
        <w:rPr>
          <w:sz w:val="22"/>
          <w:szCs w:val="22"/>
        </w:rPr>
        <w:t xml:space="preserve">Microsoft Clarity project: uaz7w7mj01 (ZIBUKO)</w:t>
      </w:r>
    </w:p>
    <w:p>
      <w:pPr>
        <w:spacing w:after="160"/>
      </w:pPr>
      <w:r>
        <w:rPr>
          <w:sz w:val="22"/>
          <w:szCs w:val="22"/>
        </w:rPr>
        <w:t xml:space="preserve">Google Tag Manager container: GTM-K8KWLSMZ</w:t>
      </w:r>
    </w:p>
    <w:p>
      <w:pPr>
        <w:spacing w:after="160"/>
      </w:pPr>
      <w:r>
        <w:rPr>
          <w:sz w:val="22"/>
          <w:szCs w:val="22"/>
        </w:rPr>
        <w:t xml:space="preserve">Cookie consent plugin: CookieYes (cookie-law-info)</w:t>
      </w:r>
    </w:p>
    <w:p>
      <w:pPr>
        <w:spacing w:after="160"/>
      </w:pPr>
      <w:r>
        <w:rPr>
          <w:sz w:val="22"/>
          <w:szCs w:val="22"/>
        </w:rPr>
        <w:t xml:space="preserve">SEO / AEO / GEO skill: seo-aeo-geo-strategist</w:t>
      </w:r>
    </w:p>
    <w:p>
      <w:pPr>
        <w:spacing w:after="160"/>
      </w:pPr>
      <w:r>
        <w:rPr>
          <w:sz w:val="22"/>
          <w:szCs w:val="22"/>
        </w:rPr>
        <w:t xml:space="preserve">Privacy compliance skill: privacy-compliance-audit</w:t>
      </w:r>
    </w:p>
    <w:p>
      <w:pPr>
        <w:spacing w:after="160"/>
      </w:pPr>
      <w:r>
        <w:rPr>
          <w:sz w:val="22"/>
          <w:szCs w:val="22"/>
        </w:rPr>
        <w:t xml:space="preserve">Landing Page Specialist prompt: Landing_Page_Specialist_Designer_Optimizer_Prompt.md</w:t>
      </w:r>
    </w:p>
    <w:p>
      <w:pPr>
        <w:spacing w:before="200"/>
      </w:pPr>
      <w:r>
        <w:rPr>
          <w:i/>
          <w:iCs/>
          <w:color w:val="5B6670"/>
          <w:sz w:val="20"/>
          <w:szCs w:val="20"/>
        </w:rPr>
        <w:t xml:space="preserve">This document will be updated as further tasks are completed — see data/activity-log.md for the running log of individual entries going forward.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2026-08-28T12:14:47.853Z</dcterms:created>
  <dcterms:modified xsi:type="dcterms:W3CDTF">2026-08-28T12:14:47.853Z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